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shd w:val="clear" w:color="auto" w:fill="auto"/>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w:t>
            </w:r>
            <w:bookmarkStart w:id="0" w:name="_GoBack"/>
            <w:bookmarkEnd w:id="0"/>
            <w:r>
              <w:rPr>
                <w:rFonts w:hint="eastAsia" w:ascii="宋体" w:hAnsi="宋体" w:eastAsia="宋体" w:cs="宋体"/>
                <w:kern w:val="0"/>
                <w:sz w:val="24"/>
                <w:szCs w:val="24"/>
                <w:lang w:val="en-US" w:eastAsia="zh-CN" w:bidi="ar"/>
              </w:rPr>
              <w:t>有机化学，物理化学，高分子化学与物理，材料化学，材料物理与化学，环境化学，电化学，催化化学，物构化学，农药学，放射化学，化学信息，化学基地班，食品安全与药物化学，资源循环科学与工程</w:t>
            </w:r>
          </w:p>
        </w:tc>
      </w:tr>
      <w:tr>
        <w:tblPrEx>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0EBD513C"/>
    <w:rsid w:val="19C92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白瑶</cp:lastModifiedBy>
  <dcterms:modified xsi:type="dcterms:W3CDTF">2020-08-10T07:55:32Z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