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ascii="宋体" w:hAns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14:textFill>
            <w14:solidFill>
              <w14:schemeClr w14:val="tx1"/>
            </w14:solidFill>
          </w14:textFill>
        </w:rPr>
        <w:t>厦门市体育局所属事业单位厦门市体育运动学校</w:t>
      </w:r>
    </w:p>
    <w:p>
      <w:pPr>
        <w:adjustRightInd w:val="0"/>
        <w:snapToGrid w:val="0"/>
        <w:spacing w:line="640" w:lineRule="exact"/>
        <w:jc w:val="center"/>
        <w:rPr>
          <w:rFonts w:ascii="宋体" w:hAnsi="宋体" w:cs="宋体"/>
          <w:b/>
          <w:color w:val="000000" w:themeColor="text1"/>
          <w:w w:val="85"/>
          <w:kern w:val="0"/>
          <w:sz w:val="44"/>
          <w:szCs w:val="44"/>
          <w14:textFill>
            <w14:solidFill>
              <w14:schemeClr w14:val="tx1"/>
            </w14:solidFill>
          </w14:textFill>
        </w:rPr>
      </w:pPr>
      <w:r>
        <w:rPr>
          <w:rFonts w:hint="eastAsia" w:ascii="宋体" w:hAnsi="宋体" w:cs="宋体"/>
          <w:b/>
          <w:color w:val="000000" w:themeColor="text1"/>
          <w:w w:val="85"/>
          <w:kern w:val="0"/>
          <w:sz w:val="44"/>
          <w:szCs w:val="44"/>
          <w14:textFill>
            <w14:solidFill>
              <w14:schemeClr w14:val="tx1"/>
            </w14:solidFill>
          </w14:textFill>
        </w:rPr>
        <w:t>公开招聘编内工作人员报考</w:t>
      </w:r>
      <w:bookmarkEnd w:id="0"/>
      <w:r>
        <w:rPr>
          <w:rFonts w:hint="eastAsia" w:ascii="宋体" w:hAnsi="宋体" w:cs="宋体"/>
          <w:b/>
          <w:color w:val="000000" w:themeColor="text1"/>
          <w:w w:val="85"/>
          <w:kern w:val="0"/>
          <w:sz w:val="44"/>
          <w:szCs w:val="44"/>
          <w14:textFill>
            <w14:solidFill>
              <w14:schemeClr w14:val="tx1"/>
            </w14:solidFill>
          </w14:textFill>
        </w:rPr>
        <w:t>须知</w:t>
      </w:r>
    </w:p>
    <w:p>
      <w:pPr>
        <w:adjustRightInd w:val="0"/>
        <w:snapToGrid w:val="0"/>
        <w:spacing w:line="640" w:lineRule="exact"/>
        <w:jc w:val="center"/>
        <w:rPr>
          <w:rFonts w:ascii="宋体" w:hAnsi="宋体" w:cs="宋体"/>
          <w:b/>
          <w:color w:val="000000" w:themeColor="text1"/>
          <w:w w:val="85"/>
          <w:kern w:val="0"/>
          <w:sz w:val="44"/>
          <w:szCs w:val="44"/>
          <w14:textFill>
            <w14:solidFill>
              <w14:schemeClr w14:val="tx1"/>
            </w14:solidFill>
          </w14:textFill>
        </w:rPr>
      </w:pPr>
      <w:r>
        <w:rPr>
          <w:rFonts w:hint="eastAsia" w:ascii="宋体" w:hAnsi="宋体" w:cs="宋体"/>
          <w:b/>
          <w:color w:val="000000" w:themeColor="text1"/>
          <w:w w:val="85"/>
          <w:kern w:val="0"/>
          <w:sz w:val="44"/>
          <w:szCs w:val="44"/>
          <w14:textFill>
            <w14:solidFill>
              <w14:schemeClr w14:val="tx1"/>
            </w14:solidFill>
          </w14:textFill>
        </w:rPr>
        <w:t>（2</w:t>
      </w:r>
      <w:r>
        <w:rPr>
          <w:rFonts w:ascii="宋体" w:hAnsi="宋体" w:cs="宋体"/>
          <w:b/>
          <w:color w:val="000000" w:themeColor="text1"/>
          <w:w w:val="85"/>
          <w:kern w:val="0"/>
          <w:sz w:val="44"/>
          <w:szCs w:val="44"/>
          <w14:textFill>
            <w14:solidFill>
              <w14:schemeClr w14:val="tx1"/>
            </w14:solidFill>
          </w14:textFill>
        </w:rPr>
        <w:t>022</w:t>
      </w:r>
      <w:r>
        <w:rPr>
          <w:rFonts w:hint="eastAsia" w:ascii="宋体" w:hAnsi="宋体" w:cs="宋体"/>
          <w:b/>
          <w:color w:val="000000" w:themeColor="text1"/>
          <w:w w:val="85"/>
          <w:kern w:val="0"/>
          <w:sz w:val="44"/>
          <w:szCs w:val="44"/>
          <w14:textFill>
            <w14:solidFill>
              <w14:schemeClr w14:val="tx1"/>
            </w14:solidFill>
          </w14:textFill>
        </w:rPr>
        <w:t>年3月）</w:t>
      </w:r>
    </w:p>
    <w:p>
      <w:pPr>
        <w:adjustRightInd w:val="0"/>
        <w:snapToGrid w:val="0"/>
        <w:spacing w:before="156" w:beforeLines="50" w:line="640" w:lineRule="exact"/>
        <w:jc w:val="center"/>
        <w:rPr>
          <w:rFonts w:ascii="宋体" w:hAnsi="宋体" w:cs="宋体"/>
          <w:b/>
          <w:color w:val="000000" w:themeColor="text1"/>
          <w:w w:val="85"/>
          <w:kern w:val="0"/>
          <w:sz w:val="44"/>
          <w:szCs w:val="44"/>
          <w14:textFill>
            <w14:solidFill>
              <w14:schemeClr w14:val="tx1"/>
            </w14:solidFill>
          </w14:textFill>
        </w:rPr>
      </w:pPr>
      <w:r>
        <w:rPr>
          <w:rFonts w:hint="eastAsia" w:ascii="宋体" w:hAnsi="宋体" w:cs="宋体"/>
          <w:b/>
          <w:color w:val="000000" w:themeColor="text1"/>
          <w:w w:val="85"/>
          <w:kern w:val="0"/>
          <w:sz w:val="44"/>
          <w:szCs w:val="44"/>
          <w14:textFill>
            <w14:solidFill>
              <w14:schemeClr w14:val="tx1"/>
            </w14:solidFill>
          </w14:textFill>
        </w:rPr>
        <w:t>目  录</w:t>
      </w:r>
    </w:p>
    <w:sdt>
      <w:sdtPr>
        <w:rPr>
          <w:rFonts w:ascii="宋体" w:hAnsi="宋体" w:eastAsia="宋体"/>
          <w:color w:val="000000" w:themeColor="text1"/>
          <w14:textFill>
            <w14:solidFill>
              <w14:schemeClr w14:val="tx1"/>
            </w14:solidFill>
          </w14:textFill>
        </w:rPr>
        <w:id w:val="147477155"/>
        <w15:color w:val="DBDBDB"/>
        <w:docPartObj>
          <w:docPartGallery w:val="Table of Contents"/>
          <w:docPartUnique/>
        </w:docPartObj>
      </w:sdtPr>
      <w:sdtEndPr>
        <w:rPr>
          <w:rFonts w:ascii="宋体" w:hAnsi="宋体" w:eastAsia="宋体"/>
          <w:color w:val="000000" w:themeColor="text1"/>
          <w14:textFill>
            <w14:solidFill>
              <w14:schemeClr w14:val="tx1"/>
            </w14:solidFill>
          </w14:textFill>
        </w:rPr>
      </w:sdtEndPr>
      <w:sdtContent>
        <w:p>
          <w:pPr>
            <w:jc w:val="center"/>
          </w:pPr>
          <w:r>
            <w:rPr>
              <w:rFonts w:ascii="宋体" w:hAnsi="宋体" w:eastAsia="宋体"/>
            </w:rPr>
            <w:t>目录</w:t>
          </w:r>
        </w:p>
        <w:p>
          <w:pPr>
            <w:pStyle w:val="6"/>
            <w:tabs>
              <w:tab w:val="right" w:leader="dot" w:pos="8306"/>
            </w:tabs>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"1-3" \h \u </w:instrText>
          </w:r>
          <w:r>
            <w:rPr>
              <w:color w:val="000000" w:themeColor="text1"/>
              <w14:textFill>
                <w14:solidFill>
                  <w14:schemeClr w14:val="tx1"/>
                </w14:solidFill>
              </w14:textFill>
            </w:rPr>
            <w:fldChar w:fldCharType="separate"/>
          </w:r>
          <w:r>
            <w:fldChar w:fldCharType="begin"/>
          </w:r>
          <w:r>
            <w:instrText xml:space="preserve"> HYPERLINK \l "_Toc155789116" </w:instrText>
          </w:r>
          <w:r>
            <w:fldChar w:fldCharType="separate"/>
          </w:r>
          <w:r>
            <w:rPr>
              <w:rFonts w:hint="eastAsia" w:ascii="黑体" w:hAnsi="黑体" w:eastAsia="黑体"/>
              <w:bCs/>
              <w:szCs w:val="32"/>
            </w:rPr>
            <w:t>一、 基本条件</w:t>
          </w:r>
          <w:r>
            <w:tab/>
          </w:r>
          <w:r>
            <w:fldChar w:fldCharType="begin"/>
          </w:r>
          <w:r>
            <w:instrText xml:space="preserve"> PAGEREF _Toc155789116 </w:instrText>
          </w:r>
          <w:r>
            <w:fldChar w:fldCharType="separate"/>
          </w:r>
          <w:r>
            <w:t>1</w:t>
          </w:r>
          <w:r>
            <w:fldChar w:fldCharType="end"/>
          </w:r>
          <w:r>
            <w:fldChar w:fldCharType="end"/>
          </w:r>
        </w:p>
        <w:p>
          <w:pPr>
            <w:pStyle w:val="6"/>
            <w:tabs>
              <w:tab w:val="right" w:leader="dot" w:pos="8306"/>
            </w:tabs>
          </w:pPr>
          <w:r>
            <w:fldChar w:fldCharType="begin"/>
          </w:r>
          <w:r>
            <w:instrText xml:space="preserve"> HYPERLINK \l "_Toc2103665459" </w:instrText>
          </w:r>
          <w:r>
            <w:fldChar w:fldCharType="separate"/>
          </w:r>
          <w:r>
            <w:rPr>
              <w:rFonts w:hint="eastAsia" w:ascii="黑体" w:hAnsi="黑体" w:eastAsia="黑体"/>
              <w:bCs/>
              <w:szCs w:val="32"/>
            </w:rPr>
            <w:t>二、 不得报考或取消报考（聘用）资格的情形</w:t>
          </w:r>
          <w:r>
            <w:tab/>
          </w:r>
          <w:r>
            <w:fldChar w:fldCharType="begin"/>
          </w:r>
          <w:r>
            <w:instrText xml:space="preserve"> PAGEREF _Toc2103665459 </w:instrText>
          </w:r>
          <w:r>
            <w:fldChar w:fldCharType="separate"/>
          </w:r>
          <w:r>
            <w:t>1</w:t>
          </w:r>
          <w:r>
            <w:fldChar w:fldCharType="end"/>
          </w:r>
          <w:r>
            <w:fldChar w:fldCharType="end"/>
          </w:r>
        </w:p>
        <w:p>
          <w:pPr>
            <w:pStyle w:val="6"/>
            <w:tabs>
              <w:tab w:val="right" w:leader="dot" w:pos="8306"/>
            </w:tabs>
          </w:pPr>
          <w:r>
            <w:fldChar w:fldCharType="begin"/>
          </w:r>
          <w:r>
            <w:instrText xml:space="preserve"> HYPERLINK \l "_Toc2083287352" </w:instrText>
          </w:r>
          <w:r>
            <w:fldChar w:fldCharType="separate"/>
          </w:r>
          <w:r>
            <w:rPr>
              <w:rFonts w:hint="eastAsia" w:ascii="黑体" w:hAnsi="黑体" w:eastAsia="黑体"/>
              <w:bCs/>
              <w:szCs w:val="32"/>
            </w:rPr>
            <w:t>三、 选报岗位</w:t>
          </w:r>
          <w:r>
            <w:tab/>
          </w:r>
          <w:r>
            <w:fldChar w:fldCharType="begin"/>
          </w:r>
          <w:r>
            <w:instrText xml:space="preserve"> PAGEREF _Toc2083287352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"_Toc283175194" </w:instrText>
          </w:r>
          <w:r>
            <w:fldChar w:fldCharType="separate"/>
          </w:r>
          <w:r>
            <w:rPr>
              <w:rFonts w:hint="eastAsia" w:ascii="楷体" w:hAnsi="楷体" w:eastAsia="楷体"/>
              <w:szCs w:val="32"/>
            </w:rPr>
            <w:t>（一）报考条件确认</w:t>
          </w:r>
          <w:r>
            <w:tab/>
          </w:r>
          <w:r>
            <w:fldChar w:fldCharType="begin"/>
          </w:r>
          <w:r>
            <w:instrText xml:space="preserve"> PAGEREF _Toc283175194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"_Toc1988453986" </w:instrText>
          </w:r>
          <w:r>
            <w:fldChar w:fldCharType="separate"/>
          </w:r>
          <w:r>
            <w:rPr>
              <w:rFonts w:hint="eastAsia" w:ascii="楷体" w:hAnsi="楷体" w:eastAsia="楷体"/>
              <w:szCs w:val="32"/>
            </w:rPr>
            <w:t>（二）照片要求</w:t>
          </w:r>
          <w:r>
            <w:tab/>
          </w:r>
          <w:r>
            <w:fldChar w:fldCharType="begin"/>
          </w:r>
          <w:r>
            <w:instrText xml:space="preserve"> PAGEREF _Toc1988453986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"_Toc969541767" </w:instrText>
          </w:r>
          <w:r>
            <w:fldChar w:fldCharType="separate"/>
          </w:r>
          <w:r>
            <w:rPr>
              <w:rFonts w:hint="eastAsia" w:ascii="楷体" w:hAnsi="楷体" w:eastAsia="楷体"/>
              <w:szCs w:val="32"/>
            </w:rPr>
            <w:t>（三） 个人简历</w:t>
          </w:r>
          <w:r>
            <w:tab/>
          </w:r>
          <w:r>
            <w:fldChar w:fldCharType="begin"/>
          </w:r>
          <w:r>
            <w:instrText xml:space="preserve"> PAGEREF _Toc969541767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"_Toc2136290342" </w:instrText>
          </w:r>
          <w:r>
            <w:fldChar w:fldCharType="separate"/>
          </w:r>
          <w:r>
            <w:rPr>
              <w:rFonts w:hint="eastAsia" w:ascii="楷体" w:hAnsi="楷体" w:eastAsia="楷体"/>
              <w:szCs w:val="32"/>
            </w:rPr>
            <w:t>（四）回避情形</w:t>
          </w:r>
          <w:r>
            <w:tab/>
          </w:r>
          <w:r>
            <w:fldChar w:fldCharType="begin"/>
          </w:r>
          <w:r>
            <w:instrText xml:space="preserve"> PAGEREF _Toc2136290342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"_Toc685687904" </w:instrText>
          </w:r>
          <w:r>
            <w:fldChar w:fldCharType="separate"/>
          </w:r>
          <w:r>
            <w:rPr>
              <w:rFonts w:hint="eastAsia" w:ascii="黑体" w:hAnsi="黑体" w:eastAsia="黑体" w:cs="黑体"/>
              <w:bCs/>
              <w:szCs w:val="32"/>
            </w:rPr>
            <w:t xml:space="preserve">四、 </w:t>
          </w:r>
          <w:r>
            <w:rPr>
              <w:rFonts w:hint="eastAsia" w:ascii="黑体" w:hAnsi="黑体" w:eastAsia="黑体"/>
              <w:bCs/>
              <w:szCs w:val="32"/>
            </w:rPr>
            <w:t>年龄、资格（历）等的计算办法</w:t>
          </w:r>
          <w:r>
            <w:tab/>
          </w:r>
          <w:r>
            <w:fldChar w:fldCharType="begin"/>
          </w:r>
          <w:r>
            <w:instrText xml:space="preserve"> PAGEREF _Toc685687904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"_Toc461308478" </w:instrText>
          </w:r>
          <w:r>
            <w:fldChar w:fldCharType="separate"/>
          </w:r>
          <w:r>
            <w:rPr>
              <w:rFonts w:hint="eastAsia" w:ascii="楷体" w:hAnsi="楷体" w:eastAsia="楷体" w:cs="楷体"/>
              <w:bCs/>
              <w:szCs w:val="32"/>
            </w:rPr>
            <w:t>（一） 年龄</w:t>
          </w:r>
          <w:r>
            <w:tab/>
          </w:r>
          <w:r>
            <w:fldChar w:fldCharType="begin"/>
          </w:r>
          <w:r>
            <w:instrText xml:space="preserve"> PAGEREF _Toc461308478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"_Toc1417474392" </w:instrText>
          </w:r>
          <w:r>
            <w:fldChar w:fldCharType="separate"/>
          </w:r>
          <w:r>
            <w:rPr>
              <w:rFonts w:hint="eastAsia" w:ascii="楷体" w:hAnsi="楷体" w:eastAsia="楷体" w:cs="楷体"/>
              <w:bCs/>
              <w:szCs w:val="32"/>
            </w:rPr>
            <w:t>（二） 资格（历）等</w:t>
          </w:r>
          <w:r>
            <w:tab/>
          </w:r>
          <w:r>
            <w:fldChar w:fldCharType="begin"/>
          </w:r>
          <w:r>
            <w:instrText xml:space="preserve"> PAGEREF _Toc1417474392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"_Toc1040731432" </w:instrText>
          </w:r>
          <w:r>
            <w:fldChar w:fldCharType="separate"/>
          </w:r>
          <w:r>
            <w:rPr>
              <w:rFonts w:hint="eastAsia" w:ascii="黑体" w:hAnsi="黑体" w:eastAsia="黑体" w:cs="黑体"/>
              <w:bCs/>
              <w:szCs w:val="32"/>
            </w:rPr>
            <w:t xml:space="preserve">五、 </w:t>
          </w:r>
          <w:r>
            <w:rPr>
              <w:rFonts w:hint="eastAsia" w:ascii="黑体" w:hAnsi="黑体" w:eastAsia="黑体"/>
              <w:bCs/>
              <w:szCs w:val="32"/>
            </w:rPr>
            <w:t>学历（位）认定</w:t>
          </w:r>
          <w:r>
            <w:tab/>
          </w:r>
          <w:r>
            <w:fldChar w:fldCharType="begin"/>
          </w:r>
          <w:r>
            <w:instrText xml:space="preserve"> PAGEREF _Toc1040731432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"_Toc32532065" </w:instrText>
          </w:r>
          <w:r>
            <w:fldChar w:fldCharType="separate"/>
          </w:r>
          <w:r>
            <w:rPr>
              <w:rFonts w:hint="eastAsia" w:ascii="楷体" w:hAnsi="楷体" w:eastAsia="楷体"/>
              <w:szCs w:val="32"/>
            </w:rPr>
            <w:t>（一）境内学历（位）</w:t>
          </w:r>
          <w:r>
            <w:tab/>
          </w:r>
          <w:r>
            <w:fldChar w:fldCharType="begin"/>
          </w:r>
          <w:r>
            <w:instrText xml:space="preserve"> PAGEREF _Toc32532065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"_Toc1057940674" </w:instrText>
          </w:r>
          <w:r>
            <w:fldChar w:fldCharType="separate"/>
          </w:r>
          <w:r>
            <w:rPr>
              <w:rFonts w:hint="eastAsia" w:ascii="楷体" w:hAnsi="楷体" w:eastAsia="楷体"/>
              <w:szCs w:val="32"/>
            </w:rPr>
            <w:t>（二）国（境）外学历（位）</w:t>
          </w:r>
          <w:r>
            <w:tab/>
          </w:r>
          <w:r>
            <w:fldChar w:fldCharType="begin"/>
          </w:r>
          <w:r>
            <w:instrText xml:space="preserve"> PAGEREF _Toc1057940674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"_Toc1498935861" </w:instrText>
          </w:r>
          <w:r>
            <w:fldChar w:fldCharType="separate"/>
          </w:r>
          <w:r>
            <w:rPr>
              <w:rFonts w:hint="eastAsia" w:ascii="楷体" w:hAnsi="楷体" w:eastAsia="楷体"/>
              <w:szCs w:val="32"/>
            </w:rPr>
            <w:t>（三）我省“双学位”“双专业”学历</w:t>
          </w:r>
          <w:r>
            <w:tab/>
          </w:r>
          <w:r>
            <w:fldChar w:fldCharType="begin"/>
          </w:r>
          <w:r>
            <w:instrText xml:space="preserve"> PAGEREF _Toc1498935861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"_Toc1147541975" </w:instrText>
          </w:r>
          <w:r>
            <w:fldChar w:fldCharType="separate"/>
          </w:r>
          <w:r>
            <w:rPr>
              <w:rFonts w:ascii="楷体" w:hAnsi="楷体" w:eastAsia="楷体"/>
              <w:szCs w:val="32"/>
            </w:rPr>
            <w:t xml:space="preserve">（四） </w:t>
          </w:r>
          <w:r>
            <w:rPr>
              <w:rFonts w:hint="eastAsia" w:ascii="楷体" w:hAnsi="楷体" w:eastAsia="楷体"/>
              <w:szCs w:val="32"/>
            </w:rPr>
            <w:t>提醒事项</w:t>
          </w:r>
          <w:r>
            <w:tab/>
          </w:r>
          <w:r>
            <w:fldChar w:fldCharType="begin"/>
          </w:r>
          <w:r>
            <w:instrText xml:space="preserve"> PAGEREF _Toc1147541975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"_Toc1448149691" </w:instrText>
          </w:r>
          <w:r>
            <w:fldChar w:fldCharType="separate"/>
          </w:r>
          <w:r>
            <w:rPr>
              <w:rFonts w:hint="eastAsia" w:ascii="黑体" w:hAnsi="黑体" w:eastAsia="黑体" w:cs="黑体"/>
              <w:bCs/>
              <w:szCs w:val="32"/>
            </w:rPr>
            <w:t xml:space="preserve">六、 </w:t>
          </w:r>
          <w:r>
            <w:rPr>
              <w:rFonts w:hint="eastAsia" w:ascii="黑体" w:hAnsi="黑体" w:eastAsia="黑体"/>
              <w:bCs/>
              <w:szCs w:val="32"/>
            </w:rPr>
            <w:t>专业</w:t>
          </w:r>
          <w:r>
            <w:tab/>
          </w:r>
          <w:r>
            <w:fldChar w:fldCharType="begin"/>
          </w:r>
          <w:r>
            <w:instrText xml:space="preserve"> PAGEREF _Toc1448149691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"_Toc74809137" </w:instrText>
          </w:r>
          <w:r>
            <w:fldChar w:fldCharType="separate"/>
          </w:r>
          <w:r>
            <w:rPr>
              <w:rFonts w:hint="eastAsia" w:ascii="楷体" w:hAnsi="楷体" w:eastAsia="楷体"/>
              <w:szCs w:val="32"/>
            </w:rPr>
            <w:t>（一）填报专业名称</w:t>
          </w:r>
          <w:r>
            <w:tab/>
          </w:r>
          <w:r>
            <w:fldChar w:fldCharType="begin"/>
          </w:r>
          <w:r>
            <w:instrText xml:space="preserve"> PAGEREF _Toc74809137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"_Toc877477519" </w:instrText>
          </w:r>
          <w:r>
            <w:fldChar w:fldCharType="separate"/>
          </w:r>
          <w:r>
            <w:rPr>
              <w:rFonts w:hint="eastAsia" w:ascii="楷体" w:hAnsi="楷体" w:eastAsia="楷体"/>
              <w:szCs w:val="32"/>
            </w:rPr>
            <w:t>（二）专业与学历（位）的对应关系</w:t>
          </w:r>
          <w:r>
            <w:tab/>
          </w:r>
          <w:r>
            <w:fldChar w:fldCharType="begin"/>
          </w:r>
          <w:r>
            <w:instrText xml:space="preserve"> PAGEREF _Toc877477519 </w:instrText>
          </w:r>
          <w:r>
            <w:fldChar w:fldCharType="separate"/>
          </w:r>
          <w:r>
            <w:t>7</w:t>
          </w:r>
          <w:r>
            <w:fldChar w:fldCharType="end"/>
          </w:r>
          <w:r>
            <w:fldChar w:fldCharType="end"/>
          </w:r>
        </w:p>
        <w:p>
          <w:pPr>
            <w:pStyle w:val="7"/>
            <w:tabs>
              <w:tab w:val="right" w:leader="dot" w:pos="8306"/>
            </w:tabs>
          </w:pPr>
          <w:r>
            <w:fldChar w:fldCharType="begin"/>
          </w:r>
          <w:r>
            <w:instrText xml:space="preserve"> HYPERLINK \l "_Toc1892370748" </w:instrText>
          </w:r>
          <w:r>
            <w:fldChar w:fldCharType="separate"/>
          </w:r>
          <w:r>
            <w:rPr>
              <w:rFonts w:hint="eastAsia" w:ascii="楷体" w:hAnsi="楷体" w:eastAsia="楷体"/>
              <w:szCs w:val="32"/>
            </w:rPr>
            <w:t>（三）专业资格的认定</w:t>
          </w:r>
          <w:r>
            <w:tab/>
          </w:r>
          <w:r>
            <w:fldChar w:fldCharType="begin"/>
          </w:r>
          <w:r>
            <w:instrText xml:space="preserve"> PAGEREF _Toc1892370748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"_Toc848579437" </w:instrText>
          </w:r>
          <w:r>
            <w:fldChar w:fldCharType="separate"/>
          </w:r>
          <w:r>
            <w:rPr>
              <w:rFonts w:hint="eastAsia" w:ascii="黑体" w:hAnsi="黑体" w:eastAsia="黑体" w:cs="黑体"/>
              <w:bCs/>
              <w:szCs w:val="32"/>
            </w:rPr>
            <w:t xml:space="preserve">七、 </w:t>
          </w:r>
          <w:r>
            <w:rPr>
              <w:rFonts w:hint="eastAsia" w:ascii="黑体" w:hAnsi="黑体" w:eastAsia="黑体"/>
              <w:bCs/>
              <w:szCs w:val="32"/>
            </w:rPr>
            <w:t>工作经历（验）</w:t>
          </w:r>
          <w:r>
            <w:tab/>
          </w:r>
          <w:r>
            <w:fldChar w:fldCharType="begin"/>
          </w:r>
          <w:r>
            <w:instrText xml:space="preserve"> PAGEREF _Toc848579437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"_Toc705677103" </w:instrText>
          </w:r>
          <w:r>
            <w:fldChar w:fldCharType="separate"/>
          </w:r>
          <w:r>
            <w:rPr>
              <w:rFonts w:hint="eastAsia" w:ascii="黑体" w:hAnsi="黑体" w:eastAsia="黑体" w:cs="黑体"/>
              <w:bCs/>
              <w:szCs w:val="32"/>
            </w:rPr>
            <w:t xml:space="preserve">八、 </w:t>
          </w:r>
          <w:r>
            <w:rPr>
              <w:rFonts w:hint="eastAsia" w:ascii="黑体" w:hAnsi="黑体" w:eastAsia="黑体"/>
              <w:bCs/>
              <w:szCs w:val="32"/>
            </w:rPr>
            <w:t>岗位开考比例</w:t>
          </w:r>
          <w:r>
            <w:tab/>
          </w:r>
          <w:r>
            <w:fldChar w:fldCharType="begin"/>
          </w:r>
          <w:r>
            <w:instrText xml:space="preserve"> PAGEREF _Toc705677103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"_Toc1377609615" </w:instrText>
          </w:r>
          <w:r>
            <w:fldChar w:fldCharType="separate"/>
          </w:r>
          <w:r>
            <w:rPr>
              <w:rFonts w:hint="eastAsia" w:ascii="黑体" w:hAnsi="黑体" w:eastAsia="黑体" w:cs="黑体"/>
              <w:bCs/>
              <w:szCs w:val="32"/>
            </w:rPr>
            <w:t xml:space="preserve">九、 </w:t>
          </w:r>
          <w:r>
            <w:rPr>
              <w:rFonts w:hint="eastAsia" w:ascii="黑体" w:hAnsi="黑体" w:eastAsia="黑体"/>
              <w:bCs/>
              <w:szCs w:val="32"/>
            </w:rPr>
            <w:t>笔试加分</w:t>
          </w:r>
          <w:r>
            <w:tab/>
          </w:r>
          <w:r>
            <w:fldChar w:fldCharType="begin"/>
          </w:r>
          <w:r>
            <w:instrText xml:space="preserve"> PAGEREF _Toc1377609615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"_Toc363628659" </w:instrText>
          </w:r>
          <w:r>
            <w:fldChar w:fldCharType="separate"/>
          </w:r>
          <w:r>
            <w:rPr>
              <w:rFonts w:hint="eastAsia" w:ascii="楷体" w:hAnsi="楷体" w:eastAsia="楷体" w:cs="楷体"/>
              <w:bCs/>
              <w:szCs w:val="32"/>
            </w:rPr>
            <w:t>（一）加分原则</w:t>
          </w:r>
          <w:r>
            <w:tab/>
          </w:r>
          <w:r>
            <w:fldChar w:fldCharType="begin"/>
          </w:r>
          <w:r>
            <w:instrText xml:space="preserve"> PAGEREF _Toc363628659 </w:instrText>
          </w:r>
          <w:r>
            <w:fldChar w:fldCharType="separate"/>
          </w:r>
          <w:r>
            <w:t>9</w:t>
          </w:r>
          <w:r>
            <w:fldChar w:fldCharType="end"/>
          </w:r>
          <w:r>
            <w:fldChar w:fldCharType="end"/>
          </w:r>
        </w:p>
        <w:p>
          <w:pPr>
            <w:pStyle w:val="3"/>
            <w:tabs>
              <w:tab w:val="right" w:leader="dot" w:pos="8306"/>
            </w:tabs>
          </w:pPr>
          <w:r>
            <w:fldChar w:fldCharType="begin"/>
          </w:r>
          <w:r>
            <w:instrText xml:space="preserve"> HYPERLINK \l "_Toc1716123593" </w:instrText>
          </w:r>
          <w:r>
            <w:fldChar w:fldCharType="separate"/>
          </w:r>
          <w:r>
            <w:rPr>
              <w:rFonts w:hint="eastAsia" w:ascii="仿宋_GB2312" w:hAnsi="仿宋_GB2312" w:eastAsia="仿宋_GB2312" w:cs="仿宋_GB2312"/>
              <w:bCs/>
              <w:szCs w:val="32"/>
            </w:rPr>
            <w:t>1.服务基层项目高校毕业人员</w:t>
          </w:r>
          <w:r>
            <w:tab/>
          </w:r>
          <w:r>
            <w:fldChar w:fldCharType="begin"/>
          </w:r>
          <w:r>
            <w:instrText xml:space="preserve"> PAGEREF _Toc1716123593 </w:instrText>
          </w:r>
          <w:r>
            <w:fldChar w:fldCharType="separate"/>
          </w:r>
          <w:r>
            <w:t>10</w:t>
          </w:r>
          <w:r>
            <w:fldChar w:fldCharType="end"/>
          </w:r>
          <w:r>
            <w:fldChar w:fldCharType="end"/>
          </w:r>
        </w:p>
        <w:p>
          <w:pPr>
            <w:pStyle w:val="3"/>
            <w:tabs>
              <w:tab w:val="right" w:leader="dot" w:pos="8306"/>
            </w:tabs>
          </w:pPr>
          <w:r>
            <w:fldChar w:fldCharType="begin"/>
          </w:r>
          <w:r>
            <w:instrText xml:space="preserve"> HYPERLINK \l "_Toc159874158" </w:instrText>
          </w:r>
          <w:r>
            <w:fldChar w:fldCharType="separate"/>
          </w:r>
          <w:r>
            <w:rPr>
              <w:rFonts w:hint="eastAsia" w:ascii="仿宋_GB2312" w:hAnsi="仿宋_GB2312" w:eastAsia="仿宋_GB2312" w:cs="仿宋_GB2312"/>
              <w:bCs/>
              <w:szCs w:val="32"/>
            </w:rPr>
            <w:t>2.退役士兵（含大学生退役士兵）</w:t>
          </w:r>
          <w:r>
            <w:tab/>
          </w:r>
          <w:r>
            <w:fldChar w:fldCharType="begin"/>
          </w:r>
          <w:r>
            <w:instrText xml:space="preserve"> PAGEREF _Toc159874158 </w:instrText>
          </w:r>
          <w:r>
            <w:fldChar w:fldCharType="separate"/>
          </w:r>
          <w:r>
            <w:t>10</w:t>
          </w:r>
          <w:r>
            <w:fldChar w:fldCharType="end"/>
          </w:r>
          <w:r>
            <w:fldChar w:fldCharType="end"/>
          </w:r>
        </w:p>
        <w:p>
          <w:pPr>
            <w:pStyle w:val="3"/>
            <w:tabs>
              <w:tab w:val="right" w:leader="dot" w:pos="8306"/>
            </w:tabs>
          </w:pPr>
          <w:r>
            <w:fldChar w:fldCharType="begin"/>
          </w:r>
          <w:r>
            <w:instrText xml:space="preserve"> HYPERLINK \l "_Toc41944464" </w:instrText>
          </w:r>
          <w:r>
            <w:fldChar w:fldCharType="separate"/>
          </w:r>
          <w:r>
            <w:rPr>
              <w:rFonts w:hint="eastAsia" w:ascii="仿宋_GB2312" w:hAnsi="仿宋_GB2312" w:eastAsia="仿宋_GB2312" w:cs="仿宋_GB2312"/>
              <w:bCs/>
              <w:szCs w:val="32"/>
            </w:rPr>
            <w:t>3.退役优秀运动员</w:t>
          </w:r>
          <w:r>
            <w:tab/>
          </w:r>
          <w:r>
            <w:fldChar w:fldCharType="begin"/>
          </w:r>
          <w:r>
            <w:instrText xml:space="preserve"> PAGEREF _Toc41944464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"_Toc1278208452" </w:instrText>
          </w:r>
          <w:r>
            <w:fldChar w:fldCharType="separate"/>
          </w:r>
          <w:r>
            <w:rPr>
              <w:rFonts w:hint="eastAsia" w:ascii="楷体" w:hAnsi="楷体" w:eastAsia="楷体" w:cs="楷体"/>
              <w:bCs/>
              <w:szCs w:val="32"/>
            </w:rPr>
            <w:t>（三）加分证明材料</w:t>
          </w:r>
          <w:r>
            <w:tab/>
          </w:r>
          <w:r>
            <w:fldChar w:fldCharType="begin"/>
          </w:r>
          <w:r>
            <w:instrText xml:space="preserve"> PAGEREF _Toc1278208452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"_Toc1296219652" </w:instrText>
          </w:r>
          <w:r>
            <w:fldChar w:fldCharType="separate"/>
          </w:r>
          <w:r>
            <w:rPr>
              <w:rFonts w:hint="eastAsia" w:ascii="黑体" w:hAnsi="黑体" w:eastAsia="黑体" w:cs="黑体"/>
              <w:bCs/>
              <w:szCs w:val="32"/>
            </w:rPr>
            <w:t xml:space="preserve">十、 </w:t>
          </w:r>
          <w:r>
            <w:rPr>
              <w:rFonts w:hint="eastAsia" w:ascii="黑体" w:hAnsi="黑体" w:eastAsia="黑体"/>
              <w:bCs/>
              <w:szCs w:val="32"/>
            </w:rPr>
            <w:t>综合总分计算</w:t>
          </w:r>
          <w:r>
            <w:tab/>
          </w:r>
          <w:r>
            <w:fldChar w:fldCharType="begin"/>
          </w:r>
          <w:r>
            <w:instrText xml:space="preserve"> PAGEREF _Toc1296219652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"_Toc470375746" </w:instrText>
          </w:r>
          <w:r>
            <w:fldChar w:fldCharType="separate"/>
          </w:r>
          <w:r>
            <w:rPr>
              <w:rFonts w:hint="eastAsia" w:ascii="黑体" w:hAnsi="黑体" w:eastAsia="黑体" w:cs="黑体"/>
              <w:bCs/>
              <w:szCs w:val="32"/>
            </w:rPr>
            <w:t xml:space="preserve">十一、 </w:t>
          </w:r>
          <w:r>
            <w:rPr>
              <w:rFonts w:hint="eastAsia" w:ascii="黑体" w:hAnsi="黑体" w:eastAsia="黑体"/>
              <w:bCs/>
              <w:szCs w:val="32"/>
            </w:rPr>
            <w:t>体检和考察</w:t>
          </w:r>
          <w:r>
            <w:tab/>
          </w:r>
          <w:r>
            <w:fldChar w:fldCharType="begin"/>
          </w:r>
          <w:r>
            <w:instrText xml:space="preserve"> PAGEREF _Toc470375746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"_Toc810303361" </w:instrText>
          </w:r>
          <w:r>
            <w:fldChar w:fldCharType="separate"/>
          </w:r>
          <w:r>
            <w:rPr>
              <w:rFonts w:hint="eastAsia" w:ascii="楷体" w:hAnsi="楷体" w:eastAsia="楷体"/>
              <w:szCs w:val="32"/>
            </w:rPr>
            <w:t>（一）确定体检人选</w:t>
          </w:r>
          <w:r>
            <w:tab/>
          </w:r>
          <w:r>
            <w:fldChar w:fldCharType="begin"/>
          </w:r>
          <w:r>
            <w:instrText xml:space="preserve"> PAGEREF _Toc810303361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"_Toc1539615584" </w:instrText>
          </w:r>
          <w:r>
            <w:fldChar w:fldCharType="separate"/>
          </w:r>
          <w:r>
            <w:rPr>
              <w:rFonts w:hint="eastAsia" w:ascii="楷体" w:hAnsi="楷体" w:eastAsia="楷体"/>
              <w:szCs w:val="32"/>
            </w:rPr>
            <w:t>（二）组织体检</w:t>
          </w:r>
          <w:r>
            <w:tab/>
          </w:r>
          <w:r>
            <w:fldChar w:fldCharType="begin"/>
          </w:r>
          <w:r>
            <w:instrText xml:space="preserve"> PAGEREF _Toc1539615584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"_Toc626164862" </w:instrText>
          </w:r>
          <w:r>
            <w:fldChar w:fldCharType="separate"/>
          </w:r>
          <w:r>
            <w:rPr>
              <w:rFonts w:hint="eastAsia" w:ascii="楷体" w:hAnsi="楷体" w:eastAsia="楷体"/>
              <w:szCs w:val="32"/>
            </w:rPr>
            <w:t>（三）体检依据</w:t>
          </w:r>
          <w:r>
            <w:tab/>
          </w:r>
          <w:r>
            <w:fldChar w:fldCharType="begin"/>
          </w:r>
          <w:r>
            <w:instrText xml:space="preserve"> PAGEREF _Toc626164862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"_Toc766485172" </w:instrText>
          </w:r>
          <w:r>
            <w:fldChar w:fldCharType="separate"/>
          </w:r>
          <w:r>
            <w:rPr>
              <w:rFonts w:hint="eastAsia" w:ascii="楷体" w:hAnsi="楷体" w:eastAsia="楷体"/>
              <w:szCs w:val="32"/>
            </w:rPr>
            <w:t>（四）体检复检</w:t>
          </w:r>
          <w:r>
            <w:tab/>
          </w:r>
          <w:r>
            <w:fldChar w:fldCharType="begin"/>
          </w:r>
          <w:r>
            <w:instrText xml:space="preserve"> PAGEREF _Toc766485172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"_Toc1475419289" </w:instrText>
          </w:r>
          <w:r>
            <w:fldChar w:fldCharType="separate"/>
          </w:r>
          <w:r>
            <w:rPr>
              <w:rFonts w:hint="eastAsia" w:ascii="楷体" w:hAnsi="楷体" w:eastAsia="楷体"/>
              <w:szCs w:val="32"/>
            </w:rPr>
            <w:t>（五）可延迟体检的情形</w:t>
          </w:r>
          <w:r>
            <w:tab/>
          </w:r>
          <w:r>
            <w:fldChar w:fldCharType="begin"/>
          </w:r>
          <w:r>
            <w:instrText xml:space="preserve"> PAGEREF _Toc1475419289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"_Toc909340056" </w:instrText>
          </w:r>
          <w:r>
            <w:fldChar w:fldCharType="separate"/>
          </w:r>
          <w:r>
            <w:rPr>
              <w:rFonts w:hint="eastAsia" w:ascii="楷体" w:hAnsi="楷体" w:eastAsia="楷体"/>
              <w:szCs w:val="32"/>
            </w:rPr>
            <w:t>（六）考察</w:t>
          </w:r>
          <w:r>
            <w:tab/>
          </w:r>
          <w:r>
            <w:fldChar w:fldCharType="begin"/>
          </w:r>
          <w:r>
            <w:instrText xml:space="preserve"> PAGEREF _Toc909340056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"_Toc607455510" </w:instrText>
          </w:r>
          <w:r>
            <w:fldChar w:fldCharType="separate"/>
          </w:r>
          <w:r>
            <w:rPr>
              <w:rFonts w:hint="eastAsia" w:ascii="黑体" w:hAnsi="黑体" w:eastAsia="黑体" w:cs="黑体"/>
              <w:bCs/>
              <w:szCs w:val="32"/>
            </w:rPr>
            <w:t xml:space="preserve">十二、 </w:t>
          </w:r>
          <w:r>
            <w:rPr>
              <w:rFonts w:hint="eastAsia" w:ascii="黑体" w:hAnsi="黑体" w:eastAsia="黑体"/>
              <w:bCs/>
              <w:szCs w:val="32"/>
            </w:rPr>
            <w:t>公示</w:t>
          </w:r>
          <w:r>
            <w:tab/>
          </w:r>
          <w:r>
            <w:fldChar w:fldCharType="begin"/>
          </w:r>
          <w:r>
            <w:instrText xml:space="preserve"> PAGEREF _Toc607455510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"_Toc297477408" </w:instrText>
          </w:r>
          <w:r>
            <w:fldChar w:fldCharType="separate"/>
          </w:r>
          <w:r>
            <w:rPr>
              <w:rFonts w:hint="eastAsia" w:ascii="黑体" w:hAnsi="黑体" w:eastAsia="黑体" w:cs="黑体"/>
              <w:bCs/>
              <w:szCs w:val="32"/>
            </w:rPr>
            <w:t xml:space="preserve">十三、 </w:t>
          </w:r>
          <w:r>
            <w:rPr>
              <w:rFonts w:hint="eastAsia" w:ascii="黑体" w:hAnsi="黑体" w:eastAsia="黑体"/>
              <w:bCs/>
              <w:szCs w:val="32"/>
            </w:rPr>
            <w:t>聘用办理</w:t>
          </w:r>
          <w:r>
            <w:tab/>
          </w:r>
          <w:r>
            <w:fldChar w:fldCharType="begin"/>
          </w:r>
          <w:r>
            <w:instrText xml:space="preserve"> PAGEREF _Toc297477408 </w:instrText>
          </w:r>
          <w:r>
            <w:fldChar w:fldCharType="separate"/>
          </w:r>
          <w:r>
            <w:t>15</w:t>
          </w:r>
          <w:r>
            <w:fldChar w:fldCharType="end"/>
          </w:r>
          <w:r>
            <w:fldChar w:fldCharType="end"/>
          </w:r>
        </w:p>
        <w:p>
          <w:pPr>
            <w:pStyle w:val="7"/>
            <w:tabs>
              <w:tab w:val="right" w:leader="dot" w:pos="8306"/>
            </w:tabs>
          </w:pPr>
          <w:r>
            <w:fldChar w:fldCharType="begin"/>
          </w:r>
          <w:r>
            <w:instrText xml:space="preserve"> HYPERLINK \l "_Toc898146750" </w:instrText>
          </w:r>
          <w:r>
            <w:fldChar w:fldCharType="separate"/>
          </w:r>
          <w:r>
            <w:rPr>
              <w:rFonts w:hint="eastAsia" w:ascii="楷体" w:hAnsi="楷体" w:eastAsia="楷体"/>
              <w:szCs w:val="32"/>
            </w:rPr>
            <w:t>（一）聘用手续办理</w:t>
          </w:r>
          <w:r>
            <w:tab/>
          </w:r>
          <w:r>
            <w:fldChar w:fldCharType="begin"/>
          </w:r>
          <w:r>
            <w:instrText xml:space="preserve"> PAGEREF _Toc898146750 </w:instrText>
          </w:r>
          <w:r>
            <w:fldChar w:fldCharType="separate"/>
          </w:r>
          <w:r>
            <w:t>15</w:t>
          </w:r>
          <w:r>
            <w:fldChar w:fldCharType="end"/>
          </w:r>
          <w:r>
            <w:fldChar w:fldCharType="end"/>
          </w:r>
        </w:p>
        <w:p>
          <w:pPr>
            <w:pStyle w:val="7"/>
            <w:tabs>
              <w:tab w:val="right" w:leader="dot" w:pos="8306"/>
            </w:tabs>
          </w:pPr>
          <w:r>
            <w:fldChar w:fldCharType="begin"/>
          </w:r>
          <w:r>
            <w:instrText xml:space="preserve"> HYPERLINK \l "_Toc1293143415" </w:instrText>
          </w:r>
          <w:r>
            <w:fldChar w:fldCharType="separate"/>
          </w:r>
          <w:r>
            <w:rPr>
              <w:rFonts w:hint="eastAsia" w:ascii="楷体" w:hAnsi="楷体" w:eastAsia="楷体"/>
              <w:szCs w:val="32"/>
            </w:rPr>
            <w:t>（二）岗位聘任</w:t>
          </w:r>
          <w:r>
            <w:tab/>
          </w:r>
          <w:r>
            <w:fldChar w:fldCharType="begin"/>
          </w:r>
          <w:r>
            <w:instrText xml:space="preserve"> PAGEREF _Toc1293143415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"_Toc758785886" </w:instrText>
          </w:r>
          <w:r>
            <w:fldChar w:fldCharType="separate"/>
          </w:r>
          <w:r>
            <w:rPr>
              <w:rFonts w:hint="eastAsia" w:ascii="黑体" w:hAnsi="黑体" w:eastAsia="黑体" w:cs="黑体"/>
              <w:szCs w:val="32"/>
            </w:rPr>
            <w:t xml:space="preserve">十四、 </w:t>
          </w:r>
          <w:r>
            <w:rPr>
              <w:rFonts w:hint="eastAsia" w:ascii="黑体" w:hAnsi="黑体" w:eastAsia="黑体"/>
              <w:bCs/>
              <w:szCs w:val="32"/>
            </w:rPr>
            <w:t>其他需说明事项</w:t>
          </w:r>
          <w:r>
            <w:tab/>
          </w:r>
          <w:r>
            <w:fldChar w:fldCharType="begin"/>
          </w:r>
          <w:r>
            <w:instrText xml:space="preserve"> PAGEREF _Toc758785886 </w:instrText>
          </w:r>
          <w:r>
            <w:fldChar w:fldCharType="separate"/>
          </w:r>
          <w:r>
            <w:t>16</w:t>
          </w:r>
          <w:r>
            <w:fldChar w:fldCharType="end"/>
          </w:r>
          <w:r>
            <w:fldChar w:fldCharType="end"/>
          </w:r>
        </w:p>
        <w:p>
          <w:pPr>
            <w:pStyle w:val="7"/>
            <w:tabs>
              <w:tab w:val="right" w:leader="dot" w:pos="8306"/>
            </w:tabs>
          </w:pPr>
          <w:r>
            <w:fldChar w:fldCharType="begin"/>
          </w:r>
          <w:r>
            <w:instrText xml:space="preserve"> HYPERLINK \l "_Toc168137494" </w:instrText>
          </w:r>
          <w:r>
            <w:fldChar w:fldCharType="separate"/>
          </w:r>
          <w:r>
            <w:rPr>
              <w:rFonts w:hint="eastAsia" w:ascii="仿宋_GB2312" w:eastAsia="仿宋_GB2312"/>
              <w:szCs w:val="32"/>
            </w:rPr>
            <w:t xml:space="preserve">（一） </w:t>
          </w:r>
          <w:r>
            <w:rPr>
              <w:rFonts w:hint="eastAsia" w:ascii="楷体" w:hAnsi="楷体" w:eastAsia="楷体"/>
              <w:szCs w:val="32"/>
            </w:rPr>
            <w:t>全日制普通教育学历</w:t>
          </w:r>
          <w:r>
            <w:tab/>
          </w:r>
          <w:r>
            <w:fldChar w:fldCharType="begin"/>
          </w:r>
          <w:r>
            <w:instrText xml:space="preserve"> PAGEREF _Toc168137494 </w:instrText>
          </w:r>
          <w:r>
            <w:fldChar w:fldCharType="separate"/>
          </w:r>
          <w:r>
            <w:t>16</w:t>
          </w:r>
          <w:r>
            <w:fldChar w:fldCharType="end"/>
          </w:r>
          <w:r>
            <w:fldChar w:fldCharType="end"/>
          </w:r>
        </w:p>
        <w:p>
          <w:pPr>
            <w:pStyle w:val="7"/>
            <w:tabs>
              <w:tab w:val="right" w:leader="dot" w:pos="8306"/>
            </w:tabs>
          </w:pPr>
          <w:r>
            <w:fldChar w:fldCharType="begin"/>
          </w:r>
          <w:r>
            <w:instrText xml:space="preserve"> HYPERLINK \l "_Toc186391199" </w:instrText>
          </w:r>
          <w:r>
            <w:fldChar w:fldCharType="separate"/>
          </w:r>
          <w:r>
            <w:rPr>
              <w:rFonts w:hint="eastAsia" w:ascii="仿宋_GB2312" w:eastAsia="仿宋_GB2312"/>
              <w:szCs w:val="32"/>
            </w:rPr>
            <w:t xml:space="preserve">（二） </w:t>
          </w:r>
          <w:r>
            <w:rPr>
              <w:rFonts w:hint="eastAsia" w:ascii="楷体" w:hAnsi="楷体" w:eastAsia="楷体"/>
              <w:szCs w:val="32"/>
            </w:rPr>
            <w:t>生源</w:t>
          </w:r>
          <w:r>
            <w:tab/>
          </w:r>
          <w:r>
            <w:fldChar w:fldCharType="begin"/>
          </w:r>
          <w:r>
            <w:instrText xml:space="preserve"> PAGEREF _Toc186391199 </w:instrText>
          </w:r>
          <w:r>
            <w:fldChar w:fldCharType="separate"/>
          </w:r>
          <w:r>
            <w:t>16</w:t>
          </w:r>
          <w:r>
            <w:fldChar w:fldCharType="end"/>
          </w:r>
          <w:r>
            <w:fldChar w:fldCharType="end"/>
          </w:r>
        </w:p>
        <w:p>
          <w:pPr>
            <w:pStyle w:val="7"/>
            <w:tabs>
              <w:tab w:val="right" w:leader="dot" w:pos="8306"/>
            </w:tabs>
          </w:pPr>
          <w:r>
            <w:fldChar w:fldCharType="begin"/>
          </w:r>
          <w:r>
            <w:instrText xml:space="preserve"> HYPERLINK \l "_Toc791317952" </w:instrText>
          </w:r>
          <w:r>
            <w:fldChar w:fldCharType="separate"/>
          </w:r>
          <w:r>
            <w:rPr>
              <w:rFonts w:hint="eastAsia" w:ascii="仿宋_GB2312" w:eastAsia="仿宋_GB2312"/>
              <w:szCs w:val="32"/>
            </w:rPr>
            <w:t xml:space="preserve">（三） </w:t>
          </w:r>
          <w:r>
            <w:rPr>
              <w:rFonts w:hint="eastAsia" w:ascii="楷体" w:hAnsi="楷体" w:eastAsia="楷体"/>
              <w:szCs w:val="32"/>
            </w:rPr>
            <w:t>港澳台人员</w:t>
          </w:r>
          <w:r>
            <w:tab/>
          </w:r>
          <w:r>
            <w:fldChar w:fldCharType="begin"/>
          </w:r>
          <w:r>
            <w:instrText xml:space="preserve"> PAGEREF _Toc791317952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"_Toc1226078168" </w:instrText>
          </w:r>
          <w:r>
            <w:fldChar w:fldCharType="separate"/>
          </w:r>
          <w:r>
            <w:rPr>
              <w:rFonts w:hint="eastAsia" w:ascii="仿宋_GB2312" w:eastAsia="仿宋_GB2312"/>
              <w:szCs w:val="32"/>
            </w:rPr>
            <w:t xml:space="preserve">（四） </w:t>
          </w:r>
          <w:r>
            <w:rPr>
              <w:rFonts w:hint="eastAsia" w:ascii="楷体" w:hAnsi="楷体" w:eastAsia="楷体"/>
              <w:szCs w:val="32"/>
            </w:rPr>
            <w:t>技工院校毕业生</w:t>
          </w:r>
          <w:r>
            <w:tab/>
          </w:r>
          <w:r>
            <w:fldChar w:fldCharType="begin"/>
          </w:r>
          <w:r>
            <w:instrText xml:space="preserve"> PAGEREF _Toc1226078168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"_Toc1685327060" </w:instrText>
          </w:r>
          <w:r>
            <w:fldChar w:fldCharType="separate"/>
          </w:r>
          <w:r>
            <w:rPr>
              <w:rFonts w:hint="eastAsia" w:ascii="黑体" w:hAnsi="黑体" w:eastAsia="黑体" w:cs="黑体"/>
              <w:bCs/>
              <w:szCs w:val="32"/>
            </w:rPr>
            <w:t xml:space="preserve">十五、 </w:t>
          </w:r>
          <w:r>
            <w:rPr>
              <w:rFonts w:hint="eastAsia" w:ascii="黑体" w:hAnsi="黑体" w:eastAsia="黑体"/>
              <w:bCs/>
              <w:szCs w:val="32"/>
            </w:rPr>
            <w:t>疫情防控要求</w:t>
          </w:r>
          <w:r>
            <w:tab/>
          </w:r>
          <w:r>
            <w:fldChar w:fldCharType="begin"/>
          </w:r>
          <w:r>
            <w:instrText xml:space="preserve"> PAGEREF _Toc1685327060 </w:instrText>
          </w:r>
          <w:r>
            <w:fldChar w:fldCharType="separate"/>
          </w:r>
          <w:r>
            <w:t>17</w:t>
          </w:r>
          <w:r>
            <w:fldChar w:fldCharType="end"/>
          </w:r>
          <w: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ind w:firstLine="640" w:firstLineChars="200"/>
        <w:rPr>
          <w:rFonts w:ascii="仿宋_GB2312" w:eastAsia="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为帮助报考者详细了解报考政策、相关事项及提醒需要注意的有关事项，按照做好常态化疫情防控前提下事业单位公开招聘工作的要求，根据事业单位公开招聘工作人员有关规定，</w:t>
      </w:r>
      <w:r>
        <w:rPr>
          <w:rFonts w:hint="eastAsia" w:ascii="仿宋" w:hAnsi="仿宋" w:eastAsia="仿宋" w:cs="仿宋"/>
          <w:sz w:val="32"/>
          <w:szCs w:val="32"/>
        </w:rPr>
        <w:t>招聘单位厦门市体育运动学校及主管部门</w:t>
      </w:r>
      <w:r>
        <w:rPr>
          <w:rFonts w:hint="eastAsia" w:ascii="仿宋_GB2312" w:eastAsia="仿宋_GB2312"/>
          <w:color w:val="000000" w:themeColor="text1"/>
          <w:sz w:val="32"/>
          <w:szCs w:val="32"/>
          <w14:textFill>
            <w14:solidFill>
              <w14:schemeClr w14:val="tx1"/>
            </w14:solidFill>
          </w14:textFill>
        </w:rPr>
        <w:t>厦门市体育局编写了《年厦门市体育局所属事业单位厦门市体育运动学校公开招聘编内工作人员报考须知（2</w:t>
      </w:r>
      <w:r>
        <w:rPr>
          <w:rFonts w:ascii="仿宋_GB2312" w:eastAsia="仿宋_GB2312"/>
          <w:color w:val="000000" w:themeColor="text1"/>
          <w:sz w:val="32"/>
          <w:szCs w:val="32"/>
          <w14:textFill>
            <w14:solidFill>
              <w14:schemeClr w14:val="tx1"/>
            </w14:solidFill>
          </w14:textFill>
        </w:rPr>
        <w:t>022</w:t>
      </w:r>
      <w:r>
        <w:rPr>
          <w:rFonts w:hint="eastAsia" w:ascii="仿宋_GB2312" w:eastAsia="仿宋_GB2312"/>
          <w:color w:val="000000" w:themeColor="text1"/>
          <w:sz w:val="32"/>
          <w:szCs w:val="32"/>
          <w14:textFill>
            <w14:solidFill>
              <w14:schemeClr w14:val="tx1"/>
            </w14:solidFill>
          </w14:textFill>
        </w:rPr>
        <w:t>年3月）》。本须知仅适用此次考试，由厦门市体育局解释。</w:t>
      </w:r>
    </w:p>
    <w:p>
      <w:pPr>
        <w:numPr>
          <w:ilvl w:val="0"/>
          <w:numId w:val="1"/>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1" w:name="_Toc155789116"/>
      <w:r>
        <w:rPr>
          <w:rFonts w:hint="eastAsia" w:ascii="黑体" w:hAnsi="黑体" w:eastAsia="黑体"/>
          <w:b/>
          <w:bCs/>
          <w:color w:val="000000" w:themeColor="text1"/>
          <w:sz w:val="32"/>
          <w:szCs w:val="32"/>
          <w14:textFill>
            <w14:solidFill>
              <w14:schemeClr w14:val="tx1"/>
            </w14:solidFill>
          </w14:textFill>
        </w:rPr>
        <w:t>基本条件</w:t>
      </w:r>
      <w:bookmarkEnd w:id="1"/>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（一）具有中华人民共和国国籍；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（二）拥护中华人民共和国宪法,拥护中国共产党领导和社会主义制度；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（三）具有良好的政治素质和道德品行，具有正常履行职责的身心条件；</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（四）18周岁以上、35周岁以下（在198</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年3月至</w:t>
      </w:r>
      <w:r>
        <w:rPr>
          <w:rFonts w:ascii="仿宋_GB2312" w:eastAsia="仿宋_GB2312"/>
          <w:color w:val="000000" w:themeColor="text1"/>
          <w:sz w:val="32"/>
          <w:szCs w:val="32"/>
          <w14:textFill>
            <w14:solidFill>
              <w14:schemeClr w14:val="tx1"/>
            </w14:solidFill>
          </w14:textFill>
        </w:rPr>
        <w:t>2004</w:t>
      </w:r>
      <w:r>
        <w:rPr>
          <w:rFonts w:hint="eastAsia" w:ascii="仿宋_GB2312" w:eastAsia="仿宋_GB2312"/>
          <w:color w:val="000000" w:themeColor="text1"/>
          <w:sz w:val="32"/>
          <w:szCs w:val="32"/>
          <w14:textFill>
            <w14:solidFill>
              <w14:schemeClr w14:val="tx1"/>
            </w14:solidFill>
          </w14:textFill>
        </w:rPr>
        <w:t>年3月期间出生）</w:t>
      </w:r>
    </w:p>
    <w:p>
      <w:pPr>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（五）具备招聘岗位设置的资格条件。</w:t>
      </w:r>
    </w:p>
    <w:p>
      <w:pPr>
        <w:numPr>
          <w:ilvl w:val="0"/>
          <w:numId w:val="1"/>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2" w:name="_Toc2103665459"/>
      <w:r>
        <w:rPr>
          <w:rFonts w:hint="eastAsia" w:ascii="黑体" w:hAnsi="黑体" w:eastAsia="黑体"/>
          <w:b/>
          <w:bCs/>
          <w:color w:val="000000" w:themeColor="text1"/>
          <w:sz w:val="32"/>
          <w:szCs w:val="32"/>
          <w14:textFill>
            <w14:solidFill>
              <w14:schemeClr w14:val="tx1"/>
            </w14:solidFill>
          </w14:textFill>
        </w:rPr>
        <w:t>不得报考或取消报考（聘用）资格的情形</w:t>
      </w:r>
      <w:bookmarkEnd w:id="2"/>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曾因犯罪受过刑事处罚的；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曾被开除公职或开除中国共产党党籍的；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被依法列为失信联合惩戒对象的；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在各级公务员或事业单位招考中被认定有舞弊等严重违反录(聘)用纪律行为的；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公务员或参照公务员法管理机关（单位）工作人员（以下简称“参公人员”）被辞退未满5年的；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试用期内的公务员或参公人员；未达到与当地公务员主管部门或单位组织人事部门约定服务年限的公务员和参公人员；</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现役军人及普通高等院校全日制在读的非应届毕业生（即2022年及以后才学业期满的全日制普通教育学生）；</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涉嫌违法犯罪正在接受司法调查尚未做出结论的，或尚未解除党（政）纪处分的，或正在接受纪律审查的;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聘用后即构成应回避关系的；</w:t>
      </w:r>
    </w:p>
    <w:p>
      <w:pPr>
        <w:numPr>
          <w:ilvl w:val="0"/>
          <w:numId w:val="2"/>
        </w:num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法律法规规章规定不得聘为事业单位人员的其他情形。</w:t>
      </w:r>
    </w:p>
    <w:p>
      <w:pPr>
        <w:numPr>
          <w:ilvl w:val="0"/>
          <w:numId w:val="1"/>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3" w:name="_Toc2083287352"/>
      <w:r>
        <w:rPr>
          <w:rFonts w:hint="eastAsia" w:ascii="黑体" w:hAnsi="黑体" w:eastAsia="黑体"/>
          <w:b/>
          <w:bCs/>
          <w:color w:val="000000" w:themeColor="text1"/>
          <w:sz w:val="32"/>
          <w:szCs w:val="32"/>
          <w14:textFill>
            <w14:solidFill>
              <w14:schemeClr w14:val="tx1"/>
            </w14:solidFill>
          </w14:textFill>
        </w:rPr>
        <w:t>选报岗位</w:t>
      </w:r>
      <w:bookmarkEnd w:id="3"/>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4" w:name="_Toc283175194"/>
      <w:r>
        <w:rPr>
          <w:rFonts w:hint="eastAsia" w:ascii="楷体" w:hAnsi="楷体" w:eastAsia="楷体"/>
          <w:b/>
          <w:color w:val="000000" w:themeColor="text1"/>
          <w:sz w:val="32"/>
          <w:szCs w:val="32"/>
          <w14:textFill>
            <w14:solidFill>
              <w14:schemeClr w14:val="tx1"/>
            </w14:solidFill>
          </w14:textFill>
        </w:rPr>
        <w:t>（一）报考条件确认</w:t>
      </w:r>
      <w:bookmarkEnd w:id="4"/>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xml:space="preserve">报考者须在报名时，全面、逐项对照招聘岗位和招聘简章等要求，确认符合报考资格条件。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2.考生以收到电子邮件确认资格初审合格和准考证为准，方可参加考试。</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 w:name="_Toc1988453986"/>
      <w:r>
        <w:rPr>
          <w:rFonts w:hint="eastAsia" w:ascii="楷体" w:hAnsi="楷体" w:eastAsia="楷体"/>
          <w:b/>
          <w:color w:val="000000" w:themeColor="text1"/>
          <w:sz w:val="32"/>
          <w:szCs w:val="32"/>
          <w14:textFill>
            <w14:solidFill>
              <w14:schemeClr w14:val="tx1"/>
            </w14:solidFill>
          </w14:textFill>
        </w:rPr>
        <w:t>（二）照片要求</w:t>
      </w:r>
      <w:bookmarkEnd w:id="5"/>
    </w:p>
    <w:p>
      <w:pPr>
        <w:shd w:val="clear" w:color="auto" w:fill="FFFFFF"/>
        <w:adjustRightInd w:val="0"/>
        <w:snapToGrid w:val="0"/>
        <w:spacing w:line="6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请提交近期正面免冠二寸彩色数码证件照（jpg格式，规格200K以下）。</w:t>
      </w:r>
    </w:p>
    <w:p>
      <w:pPr>
        <w:shd w:val="clear" w:color="auto" w:fill="FFFFFF"/>
        <w:adjustRightInd w:val="0"/>
        <w:snapToGrid w:val="0"/>
        <w:spacing w:line="6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numPr>
          <w:ilvl w:val="0"/>
          <w:numId w:val="3"/>
        </w:numPr>
        <w:ind w:firstLine="643" w:firstLineChars="200"/>
        <w:outlineLvl w:val="1"/>
        <w:rPr>
          <w:rFonts w:ascii="楷体" w:hAnsi="楷体" w:eastAsia="楷体"/>
          <w:b/>
          <w:color w:val="000000" w:themeColor="text1"/>
          <w:sz w:val="32"/>
          <w:szCs w:val="32"/>
          <w14:textFill>
            <w14:solidFill>
              <w14:schemeClr w14:val="tx1"/>
            </w14:solidFill>
          </w14:textFill>
        </w:rPr>
      </w:pPr>
      <w:bookmarkStart w:id="6" w:name="_Toc969541767"/>
      <w:r>
        <w:rPr>
          <w:rFonts w:hint="eastAsia" w:ascii="楷体" w:hAnsi="楷体" w:eastAsia="楷体"/>
          <w:b/>
          <w:color w:val="000000" w:themeColor="text1"/>
          <w:sz w:val="32"/>
          <w:szCs w:val="32"/>
          <w14:textFill>
            <w14:solidFill>
              <w14:schemeClr w14:val="tx1"/>
            </w14:solidFill>
          </w14:textFill>
        </w:rPr>
        <w:t>个人简历</w:t>
      </w:r>
      <w:bookmarkEnd w:id="6"/>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bookmarkStart w:id="7" w:name="_Toc29293"/>
      <w:bookmarkStart w:id="8" w:name="_Toc28349"/>
      <w:bookmarkStart w:id="9" w:name="_Toc4830"/>
      <w:bookmarkStart w:id="10" w:name="_Toc5535"/>
      <w:bookmarkStart w:id="11" w:name="_Toc11175"/>
      <w:r>
        <w:rPr>
          <w:rFonts w:hint="eastAsia" w:ascii="仿宋_GB2312" w:hAnsi="仿宋_GB2312" w:eastAsia="仿宋_GB2312" w:cs="仿宋_GB2312"/>
          <w:color w:val="000000" w:themeColor="text1"/>
          <w:sz w:val="32"/>
          <w:szCs w:val="32"/>
          <w14:textFill>
            <w14:solidFill>
              <w14:schemeClr w14:val="tx1"/>
            </w14:solidFill>
          </w14:textFill>
        </w:rPr>
        <w:t>报名信息应如实反映各阶段的就学、就业、待业等状态，期间不能中断，原则上应从高中起填写。</w:t>
      </w:r>
      <w:bookmarkEnd w:id="7"/>
      <w:bookmarkEnd w:id="8"/>
      <w:bookmarkEnd w:id="9"/>
      <w:bookmarkEnd w:id="10"/>
      <w:bookmarkEnd w:id="11"/>
    </w:p>
    <w:p>
      <w:pPr>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在机关事业单位工作的，须注明单位性质（机关、参公单位、非参公事业单位）和本人身份（公务员、参公事业编制人员、非参公事业编制人员、编外人员）。</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部队、武警相关单位工作人员须注明“现役人员”还是“非现役文职人员”，或者“合同制职员”等。</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在读人员须注明教育类别是“全日制普教”还是“非全日制普教”。</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12" w:name="_Toc2136290342"/>
      <w:r>
        <w:rPr>
          <w:rFonts w:hint="eastAsia" w:ascii="楷体" w:hAnsi="楷体" w:eastAsia="楷体"/>
          <w:b/>
          <w:color w:val="000000" w:themeColor="text1"/>
          <w:sz w:val="32"/>
          <w:szCs w:val="32"/>
          <w14:textFill>
            <w14:solidFill>
              <w14:schemeClr w14:val="tx1"/>
            </w14:solidFill>
          </w14:textFill>
        </w:rPr>
        <w:t>（四）回避情形</w:t>
      </w:r>
      <w:bookmarkEnd w:id="12"/>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人事</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、纪检监察、审计、财务工作的岗位，也不得聘用至双方直接隶属于同一领导人员的从事组织</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人事</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、纪检监察、审计、财务工作的内设机构正职岗位：</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夫妻关系</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直系血亲关系，包括祖父母、外祖父母、父母、子女、孙子女、外孙子女</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三代以内旁系血亲关系，包括叔伯姑舅姨、兄弟姐妹、堂兄弟姐妹、表兄弟姐妹、侄子女、甥子女</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近姻亲关系，包括配偶的父母、配偶的兄弟姐妹及其配偶、子女的配偶及子女配偶的父母、三代以内旁系血亲的配偶</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其他亲属关系，包括养父母子女、形成抚养关系的继父母子女及由此形成的直系血亲、三代以内旁系血亲和近姻亲关系。</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所称直接上下级领导关系包括：</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领导班子正职与副职</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同一内设机构正职与副职</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上级正职、副职与下级正职</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单位无内设机构的，其正职、副职与其他管理人员以及从事审计、财务工作的专业技术人员</w:t>
      </w:r>
      <w:r>
        <w:rPr>
          <w:rFonts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内设机构无下一级单位的，其正职、副职与其他管理人员以及从事审计、财务工作的专业技术人员。</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从事招聘工作的人员存在应当回避情形的，须实行履职回避。</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13" w:name="_Toc685687904"/>
      <w:r>
        <w:rPr>
          <w:rFonts w:hint="eastAsia" w:ascii="黑体" w:hAnsi="黑体" w:eastAsia="黑体"/>
          <w:b/>
          <w:bCs/>
          <w:color w:val="000000" w:themeColor="text1"/>
          <w:sz w:val="32"/>
          <w:szCs w:val="32"/>
          <w14:textFill>
            <w14:solidFill>
              <w14:schemeClr w14:val="tx1"/>
            </w14:solidFill>
          </w14:textFill>
        </w:rPr>
        <w:t>年龄、资格（历）等的计算办法</w:t>
      </w:r>
      <w:bookmarkEnd w:id="13"/>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如无特别说明，相关年限的计算、证书取得时间等，均指计算截至报名截止当月，即</w:t>
      </w:r>
      <w:r>
        <w:rPr>
          <w:rFonts w:ascii="仿宋_GB2312" w:eastAsia="仿宋_GB2312"/>
          <w:color w:val="000000" w:themeColor="text1"/>
          <w:sz w:val="32"/>
          <w:szCs w:val="32"/>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p>
    <w:p>
      <w:pPr>
        <w:numPr>
          <w:ilvl w:val="0"/>
          <w:numId w:val="5"/>
        </w:numPr>
        <w:ind w:firstLine="643" w:firstLineChars="200"/>
        <w:outlineLvl w:val="1"/>
        <w:rPr>
          <w:rFonts w:ascii="楷体" w:hAnsi="楷体" w:eastAsia="楷体" w:cs="楷体"/>
          <w:b/>
          <w:bCs/>
          <w:color w:val="000000" w:themeColor="text1"/>
          <w:sz w:val="32"/>
          <w:szCs w:val="32"/>
          <w14:textFill>
            <w14:solidFill>
              <w14:schemeClr w14:val="tx1"/>
            </w14:solidFill>
          </w14:textFill>
        </w:rPr>
      </w:pPr>
      <w:bookmarkStart w:id="14" w:name="_Toc461308478"/>
      <w:r>
        <w:rPr>
          <w:rFonts w:hint="eastAsia" w:ascii="楷体" w:hAnsi="楷体" w:eastAsia="楷体" w:cs="楷体"/>
          <w:b/>
          <w:bCs/>
          <w:color w:val="000000" w:themeColor="text1"/>
          <w:sz w:val="32"/>
          <w:szCs w:val="32"/>
          <w14:textFill>
            <w14:solidFill>
              <w14:schemeClr w14:val="tx1"/>
            </w14:solidFill>
          </w14:textFill>
        </w:rPr>
        <w:t>年龄</w:t>
      </w:r>
      <w:bookmarkEnd w:id="1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年龄要求35周岁是指18周岁以上、35周岁以下（在198</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年3月至200</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年3月期间出生）的人员。</w:t>
      </w:r>
    </w:p>
    <w:p>
      <w:pPr>
        <w:numPr>
          <w:ilvl w:val="0"/>
          <w:numId w:val="5"/>
        </w:numPr>
        <w:ind w:firstLine="643" w:firstLineChars="200"/>
        <w:outlineLvl w:val="1"/>
        <w:rPr>
          <w:rFonts w:ascii="楷体" w:hAnsi="楷体" w:eastAsia="楷体" w:cs="楷体"/>
          <w:b/>
          <w:bCs/>
          <w:color w:val="000000" w:themeColor="text1"/>
          <w:sz w:val="32"/>
          <w:szCs w:val="32"/>
          <w14:textFill>
            <w14:solidFill>
              <w14:schemeClr w14:val="tx1"/>
            </w14:solidFill>
          </w14:textFill>
        </w:rPr>
      </w:pPr>
      <w:bookmarkStart w:id="15" w:name="_Toc1417474392"/>
      <w:r>
        <w:rPr>
          <w:rFonts w:hint="eastAsia" w:ascii="楷体" w:hAnsi="楷体" w:eastAsia="楷体" w:cs="楷体"/>
          <w:b/>
          <w:bCs/>
          <w:color w:val="000000" w:themeColor="text1"/>
          <w:sz w:val="32"/>
          <w:szCs w:val="32"/>
          <w14:textFill>
            <w14:solidFill>
              <w14:schemeClr w14:val="tx1"/>
            </w14:solidFill>
          </w14:textFill>
        </w:rPr>
        <w:t>资格（历）等</w:t>
      </w:r>
      <w:bookmarkEnd w:id="15"/>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岗位资格条件、《简章》和《报考须知》要求具有</w:t>
      </w:r>
      <w:r>
        <w:rPr>
          <w:rFonts w:ascii="Arial" w:hAnsi="Arial" w:eastAsia="仿宋_GB2312" w:cs="Arial"/>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条件以上的，如无特别说明，均含本数。如：具有</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年以上工作经历，指截至报名截止当月具有</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年或</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年以上工作经历。</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16" w:name="_Toc1040731432"/>
      <w:r>
        <w:rPr>
          <w:rFonts w:hint="eastAsia" w:ascii="黑体" w:hAnsi="黑体" w:eastAsia="黑体"/>
          <w:b/>
          <w:bCs/>
          <w:color w:val="000000" w:themeColor="text1"/>
          <w:sz w:val="32"/>
          <w:szCs w:val="32"/>
          <w14:textFill>
            <w14:solidFill>
              <w14:schemeClr w14:val="tx1"/>
            </w14:solidFill>
          </w14:textFill>
        </w:rPr>
        <w:t>学历（位）认定</w:t>
      </w:r>
      <w:bookmarkEnd w:id="16"/>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17" w:name="_Toc32532065"/>
      <w:r>
        <w:rPr>
          <w:rFonts w:hint="eastAsia" w:ascii="楷体" w:hAnsi="楷体" w:eastAsia="楷体"/>
          <w:b/>
          <w:color w:val="000000" w:themeColor="text1"/>
          <w:sz w:val="32"/>
          <w:szCs w:val="32"/>
          <w14:textFill>
            <w14:solidFill>
              <w14:schemeClr w14:val="tx1"/>
            </w14:solidFill>
          </w14:textFill>
        </w:rPr>
        <w:t>（一）境内学历（位）</w:t>
      </w:r>
      <w:bookmarkEnd w:id="17"/>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并且辅修专业相应信息可在“学信网”和“学位网”上查询。</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18" w:name="_Toc1057940674"/>
      <w:r>
        <w:rPr>
          <w:rFonts w:hint="eastAsia" w:ascii="楷体" w:hAnsi="楷体" w:eastAsia="楷体"/>
          <w:b/>
          <w:color w:val="000000" w:themeColor="text1"/>
          <w:sz w:val="32"/>
          <w:szCs w:val="32"/>
          <w14:textFill>
            <w14:solidFill>
              <w14:schemeClr w14:val="tx1"/>
            </w14:solidFill>
          </w14:textFill>
        </w:rPr>
        <w:t>（二）国（境）外学历（位）</w:t>
      </w:r>
      <w:bookmarkEnd w:id="18"/>
    </w:p>
    <w:p>
      <w:pPr>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持国（境）外学历（位）报考的，应提供教育部留学服务中心出具的《国外学历学位认证书》或《香港、澳门特别行政区学历学位认证书》等有关证明材料。</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属于国内院校与国（境）外院校联合办学取得国（境）外学历学位的，需提供教育部留学服务中心出具的《联合办学学历学位评估意见书》或《联合办学学历学位认证书》。</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19" w:name="_Toc1498935861"/>
      <w:r>
        <w:rPr>
          <w:rFonts w:hint="eastAsia" w:ascii="楷体" w:hAnsi="楷体" w:eastAsia="楷体"/>
          <w:b/>
          <w:color w:val="000000" w:themeColor="text1"/>
          <w:sz w:val="32"/>
          <w:szCs w:val="32"/>
          <w14:textFill>
            <w14:solidFill>
              <w14:schemeClr w14:val="tx1"/>
            </w14:solidFill>
          </w14:textFill>
        </w:rPr>
        <w:t>（三）我省“双学位”“双专业”学历</w:t>
      </w:r>
      <w:bookmarkEnd w:id="19"/>
    </w:p>
    <w:p>
      <w:pPr>
        <w:widowControl/>
        <w:spacing w:line="560" w:lineRule="atLeast"/>
        <w:ind w:firstLine="6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18"/>
        <w:numPr>
          <w:ilvl w:val="0"/>
          <w:numId w:val="6"/>
        </w:numPr>
        <w:ind w:firstLineChars="0"/>
        <w:outlineLvl w:val="1"/>
        <w:rPr>
          <w:rFonts w:ascii="楷体" w:hAnsi="楷体" w:eastAsia="楷体"/>
          <w:b/>
          <w:color w:val="000000" w:themeColor="text1"/>
          <w:sz w:val="32"/>
          <w:szCs w:val="32"/>
          <w14:textFill>
            <w14:solidFill>
              <w14:schemeClr w14:val="tx1"/>
            </w14:solidFill>
          </w14:textFill>
        </w:rPr>
      </w:pPr>
      <w:bookmarkStart w:id="20" w:name="_Toc1147541975"/>
      <w:r>
        <w:rPr>
          <w:rFonts w:hint="eastAsia" w:ascii="楷体" w:hAnsi="楷体" w:eastAsia="楷体"/>
          <w:b/>
          <w:color w:val="000000" w:themeColor="text1"/>
          <w:sz w:val="32"/>
          <w:szCs w:val="32"/>
          <w14:textFill>
            <w14:solidFill>
              <w14:schemeClr w14:val="tx1"/>
            </w14:solidFill>
          </w14:textFill>
        </w:rPr>
        <w:t>提醒事项</w:t>
      </w:r>
      <w:bookmarkEnd w:id="20"/>
    </w:p>
    <w:p>
      <w:pPr>
        <w:pStyle w:val="18"/>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面试资格复核时，招聘单位将对学历（位）进行核查，请考生按照上述要求，提前做好相应认证报告或网上查验准备。</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21" w:name="_Toc1448149691"/>
      <w:r>
        <w:rPr>
          <w:rFonts w:hint="eastAsia" w:ascii="黑体" w:hAnsi="黑体" w:eastAsia="黑体"/>
          <w:b/>
          <w:bCs/>
          <w:color w:val="000000" w:themeColor="text1"/>
          <w:sz w:val="32"/>
          <w:szCs w:val="32"/>
          <w14:textFill>
            <w14:solidFill>
              <w14:schemeClr w14:val="tx1"/>
            </w14:solidFill>
          </w14:textFill>
        </w:rPr>
        <w:t>专业</w:t>
      </w:r>
      <w:bookmarkEnd w:id="21"/>
    </w:p>
    <w:p>
      <w:pPr>
        <w:ind w:firstLine="640" w:firstLineChars="200"/>
        <w:rPr>
          <w:rFonts w:ascii="仿宋_GB2312" w:eastAsia="仿宋_GB2312"/>
          <w:color w:val="000000" w:themeColor="text1"/>
          <w:sz w:val="32"/>
          <w:szCs w:val="32"/>
          <w:bdr w:val="single" w:color="auto" w:sz="4" w:space="0"/>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本次招考以《福建省机关事业单位招考专业指导目录（202</w:t>
      </w:r>
      <w:r>
        <w:rPr>
          <w:rFonts w:ascii="仿宋_GB2312" w:eastAsia="仿宋_GB2312"/>
          <w:color w:val="000000" w:themeColor="text1"/>
          <w:sz w:val="32"/>
          <w:szCs w:val="32"/>
          <w14:textFill>
            <w14:solidFill>
              <w14:schemeClr w14:val="tx1"/>
            </w14:solidFill>
          </w14:textFill>
        </w:rPr>
        <w:t xml:space="preserve">2 </w:t>
      </w:r>
      <w:r>
        <w:rPr>
          <w:rFonts w:hint="eastAsia" w:ascii="仿宋_GB2312" w:eastAsia="仿宋_GB2312"/>
          <w:color w:val="000000" w:themeColor="text1"/>
          <w:sz w:val="32"/>
          <w:szCs w:val="32"/>
          <w14:textFill>
            <w14:solidFill>
              <w14:schemeClr w14:val="tx1"/>
            </w14:solidFill>
          </w14:textFill>
        </w:rPr>
        <w:t>年）》（文中简称《专业指导目录》）作为岗位专业条件设置和审核的依据。其他来源的专业指导目录不作为本次报考和审核的依据。</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22" w:name="_Toc74809137"/>
      <w:r>
        <w:rPr>
          <w:rFonts w:hint="eastAsia" w:ascii="楷体" w:hAnsi="楷体" w:eastAsia="楷体"/>
          <w:b/>
          <w:color w:val="000000" w:themeColor="text1"/>
          <w:sz w:val="32"/>
          <w:szCs w:val="32"/>
          <w14:textFill>
            <w14:solidFill>
              <w14:schemeClr w14:val="tx1"/>
            </w14:solidFill>
          </w14:textFill>
        </w:rPr>
        <w:t>（一）填报专业名称</w:t>
      </w:r>
      <w:bookmarkEnd w:id="22"/>
    </w:p>
    <w:p>
      <w:pPr>
        <w:ind w:firstLine="640" w:firstLineChars="200"/>
        <w:rPr>
          <w:rFonts w:ascii="仿宋_GB2312" w:eastAsia="仿宋_GB2312"/>
          <w:color w:val="000000" w:themeColor="text1"/>
          <w:sz w:val="32"/>
          <w:szCs w:val="32"/>
          <w:bdr w:val="single" w:color="auto" w:sz="4" w:space="0"/>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报考者应严格按照所持证书（认证报告）上内容只字不差、如实填写所学专业。其中，全日制普通教育学历所学专业以毕业证书为准，非全日制普通教育和国（境）外学历（位）以教育部学历（位）认证部门出具的认证报告为准。</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23" w:name="_Toc877477519"/>
      <w:r>
        <w:rPr>
          <w:rFonts w:hint="eastAsia" w:ascii="楷体" w:hAnsi="楷体" w:eastAsia="楷体"/>
          <w:b/>
          <w:color w:val="000000" w:themeColor="text1"/>
          <w:sz w:val="32"/>
          <w:szCs w:val="32"/>
          <w14:textFill>
            <w14:solidFill>
              <w14:schemeClr w14:val="tx1"/>
            </w14:solidFill>
          </w14:textFill>
        </w:rPr>
        <w:t>（二）专业与学历（位）的对应关系</w:t>
      </w:r>
      <w:bookmarkEnd w:id="23"/>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例如，岗位要求本科学历、学士学位、工商管理专业。</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考生A：取得英语专业本科学历、学士学位，后读取工商管理专业硕士学位（单证，无学历），该考生可报考该岗位。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考生C：取得英语专业本科学历、学士学位，辅修工商管理专业取得学士学位，该考生可报考该岗位。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考生D：取得英语专业本科学历、学士学位，函授工商管理专业取得本科学历，该考生可报考该岗位。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考生E：取得工商管理专业大专学历，专升本取得英语专业本科学历、学士学位，该考生不能报考该岗位。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考生F：取得英语专业本科学历（未取得学士学位），取得工商管理专业硕士学位（无学历），该考生可报考该岗位。</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考生G：取得英语专业本科学历、学士学位，工商管理专业肄业，该考生不能报考该岗位。</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24" w:name="_Toc1892370748"/>
      <w:r>
        <w:rPr>
          <w:rFonts w:hint="eastAsia" w:ascii="楷体" w:hAnsi="楷体" w:eastAsia="楷体"/>
          <w:b/>
          <w:color w:val="000000" w:themeColor="text1"/>
          <w:sz w:val="32"/>
          <w:szCs w:val="32"/>
          <w14:textFill>
            <w14:solidFill>
              <w14:schemeClr w14:val="tx1"/>
            </w14:solidFill>
          </w14:textFill>
        </w:rPr>
        <w:t>（三）专业资格的认定</w:t>
      </w:r>
      <w:bookmarkEnd w:id="2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25" w:name="_Toc848579437"/>
      <w:r>
        <w:rPr>
          <w:rFonts w:hint="eastAsia" w:ascii="黑体" w:hAnsi="黑体" w:eastAsia="黑体"/>
          <w:b/>
          <w:bCs/>
          <w:color w:val="000000" w:themeColor="text1"/>
          <w:sz w:val="32"/>
          <w:szCs w:val="32"/>
          <w14:textFill>
            <w14:solidFill>
              <w14:schemeClr w14:val="tx1"/>
            </w14:solidFill>
          </w14:textFill>
        </w:rPr>
        <w:t>工作经历（验）</w:t>
      </w:r>
      <w:bookmarkEnd w:id="25"/>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岗位资格条件要求的“专业工作经验”，应聘人员须提供养老保险缴费凭证或工资发放表等有效凭证、聘用</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劳动</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全日制普通教育期间的社会实践经历(含兼职工作等)，不能视为工作经历(验)。</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岗位资格条件要求的工作经历（验）年限可以分段按月合并计算。不同单位的相同（似）工作经历（验）证明可分别开具，累计计算。</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例：岗位要求有2年工作经历，张三工作经历如下：</w:t>
      </w:r>
      <w:r>
        <w:rPr>
          <w:rFonts w:hint="eastAsia" w:ascii="仿宋_GB2312" w:eastAsia="仿宋_GB2312"/>
          <w:color w:val="000000" w:themeColor="text1"/>
          <w:sz w:val="32"/>
          <w:szCs w:val="32"/>
          <w14:textFill>
            <w14:solidFill>
              <w14:schemeClr w14:val="tx1"/>
            </w14:solidFill>
          </w14:textFill>
        </w:rPr>
        <w:br w:type="textWrapping"/>
      </w:r>
      <w:r>
        <w:rPr>
          <w:rFonts w:hint="eastAsia" w:ascii="仿宋_GB2312" w:eastAsia="仿宋_GB2312"/>
          <w:color w:val="000000" w:themeColor="text1"/>
          <w:sz w:val="32"/>
          <w:szCs w:val="32"/>
          <w14:textFill>
            <w14:solidFill>
              <w14:schemeClr w14:val="tx1"/>
            </w14:solidFill>
          </w14:textFill>
        </w:rPr>
        <w:t xml:space="preserve">        2018.8.7-2019.8.23在A单位上班 (13个月）</w:t>
      </w:r>
      <w:r>
        <w:rPr>
          <w:rFonts w:hint="eastAsia" w:ascii="仿宋_GB2312" w:eastAsia="仿宋_GB2312"/>
          <w:color w:val="000000" w:themeColor="text1"/>
          <w:sz w:val="32"/>
          <w:szCs w:val="32"/>
          <w14:textFill>
            <w14:solidFill>
              <w14:schemeClr w14:val="tx1"/>
            </w14:solidFill>
          </w14:textFill>
        </w:rPr>
        <w:br w:type="textWrapping"/>
      </w:r>
      <w:r>
        <w:rPr>
          <w:rFonts w:hint="eastAsia" w:ascii="仿宋_GB2312" w:eastAsia="仿宋_GB2312"/>
          <w:color w:val="000000" w:themeColor="text1"/>
          <w:sz w:val="32"/>
          <w:szCs w:val="32"/>
          <w14:textFill>
            <w14:solidFill>
              <w14:schemeClr w14:val="tx1"/>
            </w14:solidFill>
          </w14:textFill>
        </w:rPr>
        <w:t xml:space="preserve">        2019.10.8-2020.8.17在B单位上班(11个月）</w:t>
      </w:r>
      <w:r>
        <w:rPr>
          <w:rFonts w:hint="eastAsia" w:ascii="仿宋_GB2312" w:eastAsia="仿宋_GB2312"/>
          <w:color w:val="000000" w:themeColor="text1"/>
          <w:sz w:val="32"/>
          <w:szCs w:val="32"/>
          <w14:textFill>
            <w14:solidFill>
              <w14:schemeClr w14:val="tx1"/>
            </w14:solidFill>
          </w14:textFill>
        </w:rPr>
        <w:br w:type="textWrapping"/>
      </w:r>
      <w:r>
        <w:rPr>
          <w:rFonts w:hint="eastAsia" w:ascii="仿宋_GB2312" w:eastAsia="仿宋_GB2312"/>
          <w:color w:val="000000" w:themeColor="text1"/>
          <w:sz w:val="32"/>
          <w:szCs w:val="32"/>
          <w14:textFill>
            <w14:solidFill>
              <w14:schemeClr w14:val="tx1"/>
            </w14:solidFill>
          </w14:textFill>
        </w:rPr>
        <w:t xml:space="preserve">        累计24个月，满足2年工作经历。</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26" w:name="_Toc705677103"/>
      <w:r>
        <w:rPr>
          <w:rFonts w:hint="eastAsia" w:ascii="黑体" w:hAnsi="黑体" w:eastAsia="黑体"/>
          <w:b/>
          <w:bCs/>
          <w:color w:val="000000" w:themeColor="text1"/>
          <w:sz w:val="32"/>
          <w:szCs w:val="32"/>
          <w14:textFill>
            <w14:solidFill>
              <w14:schemeClr w14:val="tx1"/>
            </w14:solidFill>
          </w14:textFill>
        </w:rPr>
        <w:t>岗位开考比例</w:t>
      </w:r>
      <w:bookmarkEnd w:id="26"/>
    </w:p>
    <w:p>
      <w:pPr>
        <w:ind w:firstLine="640" w:firstLineChars="200"/>
        <w:rPr>
          <w:rFonts w:hint="eastAsia" w:ascii="仿宋_GB2312" w:eastAsia="仿宋_GB2312"/>
          <w:sz w:val="32"/>
          <w:szCs w:val="32"/>
        </w:rPr>
      </w:pPr>
      <w:r>
        <w:rPr>
          <w:rFonts w:hint="eastAsia" w:ascii="仿宋_GB2312" w:eastAsia="仿宋_GB2312"/>
          <w:sz w:val="32"/>
          <w:szCs w:val="32"/>
        </w:rPr>
        <w:t>符合岗位资格条件的报名人数与岗位拟聘人数比例达不到3:1的，原则上应取消开考。</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宋体"/>
          <w:sz w:val="32"/>
          <w:szCs w:val="32"/>
          <w:shd w:val="clear" w:color="auto" w:fill="FFFFFF"/>
        </w:rPr>
        <w:t>情况特殊确需降低比例的，由招聘单位及主管部门提出意见，报市人社局研究同意后</w:t>
      </w:r>
      <w:r>
        <w:rPr>
          <w:rFonts w:hint="eastAsia" w:ascii="仿宋_GB2312" w:eastAsia="仿宋_GB2312"/>
          <w:sz w:val="32"/>
          <w:szCs w:val="32"/>
        </w:rPr>
        <w:t>在“网上考务信息通知”中另行公告</w:t>
      </w:r>
      <w:r>
        <w:rPr>
          <w:rFonts w:hint="eastAsia" w:ascii="仿宋_GB2312" w:eastAsia="仿宋_GB2312"/>
          <w:color w:val="000000" w:themeColor="text1"/>
          <w:sz w:val="32"/>
          <w:szCs w:val="32"/>
          <w14:textFill>
            <w14:solidFill>
              <w14:schemeClr w14:val="tx1"/>
            </w14:solidFill>
          </w14:textFill>
        </w:rPr>
        <w:t>。</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27" w:name="_Toc1377609615"/>
      <w:r>
        <w:rPr>
          <w:rFonts w:hint="eastAsia" w:ascii="黑体" w:hAnsi="黑体" w:eastAsia="黑体"/>
          <w:b/>
          <w:bCs/>
          <w:color w:val="000000" w:themeColor="text1"/>
          <w:sz w:val="32"/>
          <w:szCs w:val="32"/>
          <w14:textFill>
            <w14:solidFill>
              <w14:schemeClr w14:val="tx1"/>
            </w14:solidFill>
          </w14:textFill>
        </w:rPr>
        <w:t>笔试加分</w:t>
      </w:r>
      <w:bookmarkEnd w:id="27"/>
    </w:p>
    <w:p>
      <w:pPr>
        <w:ind w:firstLine="643" w:firstLineChars="200"/>
        <w:outlineLvl w:val="1"/>
        <w:rPr>
          <w:rFonts w:ascii="楷体" w:hAnsi="楷体" w:eastAsia="楷体" w:cs="楷体"/>
          <w:b/>
          <w:bCs/>
          <w:color w:val="000000" w:themeColor="text1"/>
          <w:sz w:val="32"/>
          <w:szCs w:val="32"/>
          <w14:textFill>
            <w14:solidFill>
              <w14:schemeClr w14:val="tx1"/>
            </w14:solidFill>
          </w14:textFill>
        </w:rPr>
      </w:pPr>
      <w:bookmarkStart w:id="28" w:name="_Toc363628659"/>
      <w:r>
        <w:rPr>
          <w:rFonts w:hint="eastAsia" w:ascii="楷体" w:hAnsi="楷体" w:eastAsia="楷体" w:cs="楷体"/>
          <w:b/>
          <w:bCs/>
          <w:color w:val="000000" w:themeColor="text1"/>
          <w:sz w:val="32"/>
          <w:szCs w:val="32"/>
          <w14:textFill>
            <w14:solidFill>
              <w14:schemeClr w14:val="tx1"/>
            </w14:solidFill>
          </w14:textFill>
        </w:rPr>
        <w:t>（一）加分原则</w:t>
      </w:r>
      <w:bookmarkEnd w:id="2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笔试成绩=笔试卷面分+各项加分。</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加分仅限于笔试卷面分，免笔试人员在专业测试、面试环节不享受加分。加分不受笔试满分限制。</w:t>
      </w:r>
      <w:r>
        <w:rPr>
          <w:rFonts w:hint="eastAsia" w:ascii="仿宋_GB2312" w:eastAsia="仿宋_GB2312"/>
          <w:b/>
          <w:bCs/>
          <w:color w:val="000000" w:themeColor="text1"/>
          <w:sz w:val="32"/>
          <w:szCs w:val="32"/>
          <w14:textFill>
            <w14:solidFill>
              <w14:schemeClr w14:val="tx1"/>
            </w14:solidFill>
          </w14:textFill>
        </w:rPr>
        <w:t>各项加分可累计计算，但累计最高不超过10分。</w:t>
      </w:r>
      <w:r>
        <w:rPr>
          <w:rFonts w:hint="eastAsia" w:ascii="仿宋_GB2312" w:eastAsia="仿宋_GB2312"/>
          <w:color w:val="000000" w:themeColor="text1"/>
          <w:sz w:val="32"/>
          <w:szCs w:val="32"/>
          <w14:textFill>
            <w14:solidFill>
              <w14:schemeClr w14:val="tx1"/>
            </w14:solidFill>
          </w14:textFill>
        </w:rPr>
        <w:t>曾通过享受政策待遇被录（聘）为公务员或事业单位编内工作人员的，不再享受相应项目的加分。</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（二）加分对象</w:t>
      </w:r>
    </w:p>
    <w:p>
      <w:pPr>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经报名资格审核通过并符合以下加分政策的报考人员可享受笔试加分待遇：</w:t>
      </w:r>
    </w:p>
    <w:p>
      <w:pPr>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29" w:name="_Toc9098"/>
      <w:bookmarkStart w:id="30" w:name="_Toc15632"/>
      <w:bookmarkStart w:id="31" w:name="_Toc17898"/>
      <w:bookmarkStart w:id="32" w:name="_Toc13976"/>
      <w:bookmarkStart w:id="33" w:name="_Toc10848"/>
      <w:bookmarkStart w:id="34" w:name="_Toc1716123593"/>
      <w:r>
        <w:rPr>
          <w:rFonts w:hint="eastAsia" w:ascii="仿宋_GB2312" w:hAnsi="仿宋_GB2312" w:eastAsia="仿宋_GB2312" w:cs="仿宋_GB2312"/>
          <w:b/>
          <w:bCs/>
          <w:color w:val="000000" w:themeColor="text1"/>
          <w:sz w:val="32"/>
          <w:szCs w:val="32"/>
          <w14:textFill>
            <w14:solidFill>
              <w14:schemeClr w14:val="tx1"/>
            </w14:solidFill>
          </w14:textFill>
        </w:rPr>
        <w:t>1.服务基层项目高校毕业人员</w:t>
      </w:r>
      <w:bookmarkEnd w:id="29"/>
      <w:bookmarkEnd w:id="30"/>
      <w:bookmarkEnd w:id="31"/>
      <w:bookmarkEnd w:id="32"/>
      <w:bookmarkEnd w:id="33"/>
      <w:bookmarkEnd w:id="3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参加国家和福建省组织实施的“三支一扶”计划、“志愿服务西部计划”（含研究生支教团）、“志愿服务欠发达地区计划”和“服务社区计划”等，服务期限为1年及以上且于</w:t>
      </w:r>
      <w:r>
        <w:rPr>
          <w:rFonts w:ascii="仿宋_GB2312" w:eastAsia="仿宋_GB2312"/>
          <w:color w:val="000000" w:themeColor="text1"/>
          <w:sz w:val="32"/>
          <w:szCs w:val="32"/>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 xml:space="preserve">年12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35" w:name="_Toc3463"/>
      <w:bookmarkStart w:id="36" w:name="_Toc24980"/>
      <w:bookmarkStart w:id="37" w:name="_Toc159874158"/>
      <w:bookmarkStart w:id="38" w:name="_Toc12368"/>
      <w:bookmarkStart w:id="39" w:name="_Toc1747"/>
      <w:bookmarkStart w:id="40" w:name="_Toc22049"/>
      <w:r>
        <w:rPr>
          <w:rFonts w:hint="eastAsia" w:ascii="仿宋_GB2312" w:hAnsi="仿宋_GB2312" w:eastAsia="仿宋_GB2312" w:cs="仿宋_GB2312"/>
          <w:b/>
          <w:bCs/>
          <w:color w:val="000000" w:themeColor="text1"/>
          <w:sz w:val="32"/>
          <w:szCs w:val="32"/>
          <w14:textFill>
            <w14:solidFill>
              <w14:schemeClr w14:val="tx1"/>
            </w14:solidFill>
          </w14:textFill>
        </w:rPr>
        <w:t>2.退役士兵（含大学生退役士兵）</w:t>
      </w:r>
      <w:bookmarkEnd w:id="35"/>
      <w:bookmarkEnd w:id="36"/>
      <w:bookmarkEnd w:id="37"/>
      <w:bookmarkEnd w:id="38"/>
      <w:bookmarkEnd w:id="39"/>
      <w:bookmarkEnd w:id="40"/>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由福建省兵役机关批准入伍或福建生源的退役士兵（在福建省外应征入伍，但已于报名截止日前取得福建户籍的可参照），可享受以下笔试卷面分加分：服役满13年以上的</w:t>
      </w:r>
      <w:bookmarkStart w:id="66" w:name="_GoBack"/>
      <w:bookmarkEnd w:id="66"/>
      <w:r>
        <w:rPr>
          <w:rFonts w:hint="eastAsia" w:ascii="仿宋_GB2312" w:eastAsia="仿宋_GB2312"/>
          <w:color w:val="000000" w:themeColor="text1"/>
          <w:sz w:val="32"/>
          <w:szCs w:val="32"/>
          <w14:textFill>
            <w14:solidFill>
              <w14:schemeClr w14:val="tx1"/>
            </w14:solidFill>
          </w14:textFill>
        </w:rPr>
        <w:t>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bookmarkStart w:id="41" w:name="_Toc41944464"/>
      <w:bookmarkStart w:id="42" w:name="_Toc15434"/>
      <w:bookmarkStart w:id="43" w:name="_Toc31915"/>
      <w:bookmarkStart w:id="44" w:name="_Toc5502"/>
      <w:r>
        <w:rPr>
          <w:rFonts w:hint="eastAsia" w:ascii="仿宋_GB2312" w:hAnsi="仿宋_GB2312" w:eastAsia="仿宋_GB2312" w:cs="仿宋_GB2312"/>
          <w:b/>
          <w:bCs/>
          <w:color w:val="000000" w:themeColor="text1"/>
          <w:sz w:val="32"/>
          <w:szCs w:val="32"/>
          <w14:textFill>
            <w14:solidFill>
              <w14:schemeClr w14:val="tx1"/>
            </w14:solidFill>
          </w14:textFill>
        </w:rPr>
        <w:t>3.退役优秀运动员</w:t>
      </w:r>
      <w:bookmarkEnd w:id="41"/>
      <w:bookmarkEnd w:id="42"/>
      <w:bookmarkEnd w:id="43"/>
      <w:bookmarkEnd w:id="4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ascii="楷体" w:hAnsi="楷体" w:eastAsia="楷体" w:cs="楷体"/>
          <w:b/>
          <w:bCs/>
          <w:color w:val="000000" w:themeColor="text1"/>
          <w:sz w:val="32"/>
          <w:szCs w:val="32"/>
          <w14:textFill>
            <w14:solidFill>
              <w14:schemeClr w14:val="tx1"/>
            </w14:solidFill>
          </w14:textFill>
        </w:rPr>
      </w:pPr>
      <w:bookmarkStart w:id="45" w:name="_Toc30306"/>
      <w:bookmarkStart w:id="46" w:name="_Toc1278208452"/>
      <w:r>
        <w:rPr>
          <w:rFonts w:hint="eastAsia" w:ascii="楷体" w:hAnsi="楷体" w:eastAsia="楷体" w:cs="楷体"/>
          <w:b/>
          <w:bCs/>
          <w:color w:val="000000" w:themeColor="text1"/>
          <w:sz w:val="32"/>
          <w:szCs w:val="32"/>
          <w14:textFill>
            <w14:solidFill>
              <w14:schemeClr w14:val="tx1"/>
            </w14:solidFill>
          </w14:textFill>
        </w:rPr>
        <w:t>（三）加分证明材料</w:t>
      </w:r>
      <w:bookmarkEnd w:id="45"/>
      <w:bookmarkEnd w:id="46"/>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符合加分政策的报考人员须在网上报名时如实填报，并于报名期间主动向招聘单位沟通提交以下加分证明材料（提交方式请与招聘单位联系人联系），否则视为放弃享受加分政策：</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1.服务基层项目毕业生须提交组织实施相应项目的机构出具的服务基层期满考核合格证书（或服务期满考核合格材料），以及福建户籍或福建生源证明材料。</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此前已由民政部门开具的证明继续有效。</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47" w:name="_Toc1296219652"/>
      <w:r>
        <w:rPr>
          <w:rFonts w:hint="eastAsia" w:ascii="黑体" w:hAnsi="黑体" w:eastAsia="黑体"/>
          <w:b/>
          <w:bCs/>
          <w:color w:val="000000" w:themeColor="text1"/>
          <w:sz w:val="32"/>
          <w:szCs w:val="32"/>
          <w14:textFill>
            <w14:solidFill>
              <w14:schemeClr w14:val="tx1"/>
            </w14:solidFill>
          </w14:textFill>
        </w:rPr>
        <w:t>综合总分计算</w:t>
      </w:r>
      <w:bookmarkEnd w:id="47"/>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综合总分合格线为60分，其中：</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综合总分=笔试成绩×</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0%+专业技能实际操作水平考核成绩×</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0%。</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笔试成绩、专业技能实际操作水平考核成绩、综合总分均采用四舍五入方式取小数点后2位（必要时可增加小数点位数）。对于综合总分相同者，按以下顺序进一步确定名次排列：</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（一）按</w:t>
      </w:r>
      <w:bookmarkStart w:id="48" w:name="_Hlk97134370"/>
      <w:r>
        <w:rPr>
          <w:rFonts w:hint="eastAsia" w:ascii="仿宋_GB2312" w:eastAsia="仿宋_GB2312"/>
          <w:color w:val="000000" w:themeColor="text1"/>
          <w:sz w:val="32"/>
          <w:szCs w:val="32"/>
          <w14:textFill>
            <w14:solidFill>
              <w14:schemeClr w14:val="tx1"/>
            </w14:solidFill>
          </w14:textFill>
        </w:rPr>
        <w:t>专业技能实际操作水平考核成绩</w:t>
      </w:r>
      <w:bookmarkEnd w:id="48"/>
      <w:r>
        <w:rPr>
          <w:rFonts w:hint="eastAsia" w:ascii="仿宋_GB2312" w:eastAsia="仿宋_GB2312"/>
          <w:color w:val="000000" w:themeColor="text1"/>
          <w:sz w:val="32"/>
          <w:szCs w:val="32"/>
          <w14:textFill>
            <w14:solidFill>
              <w14:schemeClr w14:val="tx1"/>
            </w14:solidFill>
          </w14:textFill>
        </w:rPr>
        <w:t>从高到低排列；</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若专业技能实际操作水平考核成绩依然相同，符合国家、福建省或厦门市文件规定优先对象的，优先进入体检环节。若无优先对象，由面试组织部门组织他们重新进行面试，取重新面试成绩较高者进入体检环节。</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49" w:name="_Toc470375746"/>
      <w:r>
        <w:rPr>
          <w:rFonts w:hint="eastAsia" w:ascii="黑体" w:hAnsi="黑体" w:eastAsia="黑体"/>
          <w:b/>
          <w:bCs/>
          <w:color w:val="000000" w:themeColor="text1"/>
          <w:sz w:val="32"/>
          <w:szCs w:val="32"/>
          <w14:textFill>
            <w14:solidFill>
              <w14:schemeClr w14:val="tx1"/>
            </w14:solidFill>
          </w14:textFill>
        </w:rPr>
        <w:t>体检和考察</w:t>
      </w:r>
      <w:bookmarkEnd w:id="49"/>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0" w:name="_Toc810303361"/>
      <w:r>
        <w:rPr>
          <w:rFonts w:hint="eastAsia" w:ascii="楷体" w:hAnsi="楷体" w:eastAsia="楷体"/>
          <w:b/>
          <w:color w:val="000000" w:themeColor="text1"/>
          <w:sz w:val="32"/>
          <w:szCs w:val="32"/>
          <w14:textFill>
            <w14:solidFill>
              <w14:schemeClr w14:val="tx1"/>
            </w14:solidFill>
          </w14:textFill>
        </w:rPr>
        <w:t>（一）确定体检人选</w:t>
      </w:r>
      <w:bookmarkEnd w:id="50"/>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从笔试、专业技能实际操作水平考核成绩和综合总分均合格者中，根据综合总分排名顺序，按岗位拟招聘人数1:1的比例从高分至低分确定体检人选。</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1" w:name="_Toc1539615584"/>
      <w:r>
        <w:rPr>
          <w:rFonts w:hint="eastAsia" w:ascii="楷体" w:hAnsi="楷体" w:eastAsia="楷体"/>
          <w:b/>
          <w:color w:val="000000" w:themeColor="text1"/>
          <w:sz w:val="32"/>
          <w:szCs w:val="32"/>
          <w14:textFill>
            <w14:solidFill>
              <w14:schemeClr w14:val="tx1"/>
            </w14:solidFill>
          </w14:textFill>
        </w:rPr>
        <w:t>（二）组织体检</w:t>
      </w:r>
      <w:bookmarkEnd w:id="51"/>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体检由招聘单位及其主管部门负责，体检人员应根据通知按时参加并配合体检，否则，视为放弃资格。</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2" w:name="_Toc626164862"/>
      <w:r>
        <w:rPr>
          <w:rFonts w:hint="eastAsia" w:ascii="楷体" w:hAnsi="楷体" w:eastAsia="楷体"/>
          <w:b/>
          <w:color w:val="000000" w:themeColor="text1"/>
          <w:sz w:val="32"/>
          <w:szCs w:val="32"/>
          <w14:textFill>
            <w14:solidFill>
              <w14:schemeClr w14:val="tx1"/>
            </w14:solidFill>
          </w14:textFill>
        </w:rPr>
        <w:t>（三）体检依据</w:t>
      </w:r>
      <w:bookmarkEnd w:id="52"/>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体检医院由招聘单位和主管部门根据要求指定。具体检测方法由体检医院结合实际确定，体检结论以体检医院出具的体检报告为准。</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体（复）检费用个人自理。凡在体检中弄虚作假或隐瞒真实情况的报考者，不予聘用或取消聘用。</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3" w:name="_Toc766485172"/>
      <w:r>
        <w:rPr>
          <w:rFonts w:hint="eastAsia" w:ascii="楷体" w:hAnsi="楷体" w:eastAsia="楷体"/>
          <w:b/>
          <w:color w:val="000000" w:themeColor="text1"/>
          <w:sz w:val="32"/>
          <w:szCs w:val="32"/>
          <w14:textFill>
            <w14:solidFill>
              <w14:schemeClr w14:val="tx1"/>
            </w14:solidFill>
          </w14:textFill>
        </w:rPr>
        <w:t>（四）体检复检</w:t>
      </w:r>
      <w:bookmarkEnd w:id="53"/>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 对心率、视力、听力、血压等项目达不到体检合格标准的，安排</w:t>
      </w:r>
      <w:r>
        <w:rPr>
          <w:rFonts w:hint="eastAsia" w:ascii="仿宋_GB2312" w:eastAsia="仿宋_GB2312"/>
          <w:b/>
          <w:bCs/>
          <w:color w:val="000000" w:themeColor="text1"/>
          <w:sz w:val="32"/>
          <w:szCs w:val="32"/>
          <w14:textFill>
            <w14:solidFill>
              <w14:schemeClr w14:val="tx1"/>
            </w14:solidFill>
          </w14:textFill>
        </w:rPr>
        <w:t>当日复检</w:t>
      </w:r>
      <w:r>
        <w:rPr>
          <w:rFonts w:hint="eastAsia" w:ascii="仿宋_GB2312" w:eastAsia="仿宋_GB2312"/>
          <w:color w:val="000000" w:themeColor="text1"/>
          <w:sz w:val="32"/>
          <w:szCs w:val="32"/>
          <w14:textFill>
            <w14:solidFill>
              <w14:schemeClr w14:val="tx1"/>
            </w14:solidFill>
          </w14:textFill>
        </w:rPr>
        <w:t>；对边缘性心脏杂音、病理性心电图、病理性杂音、频发早搏（心电图证实）等项目达不到体检合格标准的，安排</w:t>
      </w:r>
      <w:r>
        <w:rPr>
          <w:rFonts w:hint="eastAsia" w:ascii="仿宋_GB2312" w:eastAsia="仿宋_GB2312"/>
          <w:b/>
          <w:bCs/>
          <w:color w:val="000000" w:themeColor="text1"/>
          <w:sz w:val="32"/>
          <w:szCs w:val="32"/>
          <w14:textFill>
            <w14:solidFill>
              <w14:schemeClr w14:val="tx1"/>
            </w14:solidFill>
          </w14:textFill>
        </w:rPr>
        <w:t>当场复检</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2.考生</w:t>
      </w:r>
      <w:r>
        <w:rPr>
          <w:rFonts w:hint="eastAsia" w:ascii="仿宋_GB2312" w:eastAsia="仿宋_GB2312"/>
          <w:b/>
          <w:bCs/>
          <w:color w:val="000000" w:themeColor="text1"/>
          <w:sz w:val="32"/>
          <w:szCs w:val="32"/>
          <w14:textFill>
            <w14:solidFill>
              <w14:schemeClr w14:val="tx1"/>
            </w14:solidFill>
          </w14:textFill>
        </w:rPr>
        <w:t>对非当日或非当场复检的体检项目结果有疑问时</w:t>
      </w:r>
      <w:r>
        <w:rPr>
          <w:rFonts w:hint="eastAsia" w:ascii="仿宋_GB2312" w:eastAsia="仿宋_GB2312"/>
          <w:color w:val="000000" w:themeColor="text1"/>
          <w:sz w:val="32"/>
          <w:szCs w:val="32"/>
          <w14:textFill>
            <w14:solidFill>
              <w14:schemeClr w14:val="tx1"/>
            </w14:solidFill>
          </w14:textFill>
        </w:rPr>
        <w:t>，可以在接到体检结论的7日内，向组织体检单位提交复检申请。组织体检的单位另行指定医院复检。复检时不得告知复检项目。复检只能进行1次，体检结论以复检的结果为准。自行体检的结果无效。</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3.组织体检单位对体检结论有疑问的，在接到体检结论通知之日起7日内决定是否进行复检。</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4" w:name="_Toc1475419289"/>
      <w:r>
        <w:rPr>
          <w:rFonts w:hint="eastAsia" w:ascii="楷体" w:hAnsi="楷体" w:eastAsia="楷体"/>
          <w:b/>
          <w:color w:val="000000" w:themeColor="text1"/>
          <w:sz w:val="32"/>
          <w:szCs w:val="32"/>
          <w14:textFill>
            <w14:solidFill>
              <w14:schemeClr w14:val="tx1"/>
            </w14:solidFill>
          </w14:textFill>
        </w:rPr>
        <w:t>（五）可延迟体检的情形</w:t>
      </w:r>
      <w:bookmarkEnd w:id="5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5" w:name="_Toc909340056"/>
      <w:r>
        <w:rPr>
          <w:rFonts w:hint="eastAsia" w:ascii="楷体" w:hAnsi="楷体" w:eastAsia="楷体"/>
          <w:b/>
          <w:color w:val="000000" w:themeColor="text1"/>
          <w:sz w:val="32"/>
          <w:szCs w:val="32"/>
          <w14:textFill>
            <w14:solidFill>
              <w14:schemeClr w14:val="tx1"/>
            </w14:solidFill>
          </w14:textFill>
        </w:rPr>
        <w:t>（六）考察</w:t>
      </w:r>
      <w:bookmarkEnd w:id="55"/>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考察工作前，通过中国执行信息公开网（http://zxgk.court.gov.cn/）核实考察对象有无失信被执行的情况。被依法列为失信联合惩戒对象的，不得报考或或取消报考（聘用）资格。</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56" w:name="_Toc607455510"/>
      <w:r>
        <w:rPr>
          <w:rFonts w:hint="eastAsia" w:ascii="黑体" w:hAnsi="黑体" w:eastAsia="黑体"/>
          <w:b/>
          <w:bCs/>
          <w:color w:val="000000" w:themeColor="text1"/>
          <w:sz w:val="32"/>
          <w:szCs w:val="32"/>
          <w14:textFill>
            <w14:solidFill>
              <w14:schemeClr w14:val="tx1"/>
            </w14:solidFill>
          </w14:textFill>
        </w:rPr>
        <w:t>公示</w:t>
      </w:r>
      <w:bookmarkEnd w:id="56"/>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根据岗位要求以及考试、体检、考察结果，确定拟聘用人员名单，拟聘人选在厦门市体育局网站及厦门市体育运动学校网站上公示7个工作日。公示内容包括招聘单位名称、招聘岗位、拟聘人员基本信息等。</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57" w:name="_Toc297477408"/>
      <w:r>
        <w:rPr>
          <w:rFonts w:hint="eastAsia" w:ascii="黑体" w:hAnsi="黑体" w:eastAsia="黑体"/>
          <w:b/>
          <w:bCs/>
          <w:color w:val="000000" w:themeColor="text1"/>
          <w:sz w:val="32"/>
          <w:szCs w:val="32"/>
          <w14:textFill>
            <w14:solidFill>
              <w14:schemeClr w14:val="tx1"/>
            </w14:solidFill>
          </w14:textFill>
        </w:rPr>
        <w:t>聘用办理</w:t>
      </w:r>
      <w:bookmarkEnd w:id="57"/>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8" w:name="_Toc898146750"/>
      <w:r>
        <w:rPr>
          <w:rFonts w:hint="eastAsia" w:ascii="楷体" w:hAnsi="楷体" w:eastAsia="楷体"/>
          <w:b/>
          <w:color w:val="000000" w:themeColor="text1"/>
          <w:sz w:val="32"/>
          <w:szCs w:val="32"/>
          <w14:textFill>
            <w14:solidFill>
              <w14:schemeClr w14:val="tx1"/>
            </w14:solidFill>
          </w14:textFill>
        </w:rPr>
        <w:t>（一）聘用手续办理</w:t>
      </w:r>
      <w:bookmarkEnd w:id="5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000000" w:themeColor="text1"/>
          <w:sz w:val="32"/>
          <w:szCs w:val="32"/>
          <w14:textFill>
            <w14:solidFill>
              <w14:schemeClr w14:val="tx1"/>
            </w14:solidFill>
          </w14:textFill>
        </w:rPr>
      </w:pPr>
      <w:bookmarkStart w:id="59" w:name="_Toc1293143415"/>
      <w:r>
        <w:rPr>
          <w:rFonts w:hint="eastAsia" w:ascii="楷体" w:hAnsi="楷体" w:eastAsia="楷体"/>
          <w:b/>
          <w:color w:val="000000" w:themeColor="text1"/>
          <w:sz w:val="32"/>
          <w:szCs w:val="32"/>
          <w14:textFill>
            <w14:solidFill>
              <w14:schemeClr w14:val="tx1"/>
            </w14:solidFill>
          </w14:textFill>
        </w:rPr>
        <w:t>（二）岗位聘任</w:t>
      </w:r>
      <w:bookmarkEnd w:id="59"/>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ascii="仿宋_GB2312" w:eastAsia="仿宋_GB2312"/>
          <w:b/>
          <w:color w:val="000000" w:themeColor="text1"/>
          <w:sz w:val="32"/>
          <w:szCs w:val="32"/>
          <w14:textFill>
            <w14:solidFill>
              <w14:schemeClr w14:val="tx1"/>
            </w14:solidFill>
          </w14:textFill>
        </w:rPr>
      </w:pPr>
      <w:bookmarkStart w:id="60" w:name="_Toc758785886"/>
      <w:r>
        <w:rPr>
          <w:rFonts w:hint="eastAsia" w:ascii="黑体" w:hAnsi="黑体" w:eastAsia="黑体"/>
          <w:b/>
          <w:bCs/>
          <w:color w:val="000000" w:themeColor="text1"/>
          <w:sz w:val="32"/>
          <w:szCs w:val="32"/>
          <w14:textFill>
            <w14:solidFill>
              <w14:schemeClr w14:val="tx1"/>
            </w14:solidFill>
          </w14:textFill>
        </w:rPr>
        <w:t>其他需说明事项</w:t>
      </w:r>
      <w:bookmarkEnd w:id="60"/>
    </w:p>
    <w:p>
      <w:pPr>
        <w:numPr>
          <w:ilvl w:val="0"/>
          <w:numId w:val="7"/>
        </w:numPr>
        <w:outlineLvl w:val="1"/>
        <w:rPr>
          <w:rFonts w:ascii="仿宋_GB2312" w:eastAsia="仿宋_GB2312"/>
          <w:b/>
          <w:color w:val="000000" w:themeColor="text1"/>
          <w:sz w:val="32"/>
          <w:szCs w:val="32"/>
          <w14:textFill>
            <w14:solidFill>
              <w14:schemeClr w14:val="tx1"/>
            </w14:solidFill>
          </w14:textFill>
        </w:rPr>
      </w:pPr>
      <w:bookmarkStart w:id="61" w:name="_Toc168137494"/>
      <w:r>
        <w:rPr>
          <w:rFonts w:hint="eastAsia" w:ascii="楷体" w:hAnsi="楷体" w:eastAsia="楷体"/>
          <w:b/>
          <w:color w:val="000000" w:themeColor="text1"/>
          <w:sz w:val="32"/>
          <w:szCs w:val="32"/>
          <w14:textFill>
            <w14:solidFill>
              <w14:schemeClr w14:val="tx1"/>
            </w14:solidFill>
          </w14:textFill>
        </w:rPr>
        <w:t>全日制普通教育学历</w:t>
      </w:r>
      <w:bookmarkEnd w:id="61"/>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000000" w:themeColor="text1"/>
          <w:sz w:val="32"/>
          <w:szCs w:val="32"/>
          <w14:textFill>
            <w14:solidFill>
              <w14:schemeClr w14:val="tx1"/>
            </w14:solidFill>
          </w14:textFill>
        </w:rPr>
        <w:t>入学时将档案关系转到就读学校、</w:t>
      </w:r>
      <w:r>
        <w:rPr>
          <w:rFonts w:hint="eastAsia" w:ascii="仿宋_GB2312" w:eastAsia="仿宋_GB2312"/>
          <w:color w:val="000000" w:themeColor="text1"/>
          <w:sz w:val="32"/>
          <w:szCs w:val="32"/>
          <w14:textFill>
            <w14:solidFill>
              <w14:schemeClr w14:val="tx1"/>
            </w14:solidFill>
          </w14:textFill>
        </w:rPr>
        <w:t>按教学计划完成该学业、取得国家承认的学历。</w:t>
      </w:r>
    </w:p>
    <w:p>
      <w:pPr>
        <w:numPr>
          <w:ilvl w:val="0"/>
          <w:numId w:val="7"/>
        </w:numPr>
        <w:outlineLvl w:val="1"/>
        <w:rPr>
          <w:rFonts w:ascii="仿宋_GB2312" w:eastAsia="仿宋_GB2312"/>
          <w:b/>
          <w:color w:val="000000" w:themeColor="text1"/>
          <w:sz w:val="32"/>
          <w:szCs w:val="32"/>
          <w14:textFill>
            <w14:solidFill>
              <w14:schemeClr w14:val="tx1"/>
            </w14:solidFill>
          </w14:textFill>
        </w:rPr>
      </w:pPr>
      <w:bookmarkStart w:id="62" w:name="_Toc186391199"/>
      <w:r>
        <w:rPr>
          <w:rFonts w:hint="eastAsia" w:ascii="楷体" w:hAnsi="楷体" w:eastAsia="楷体"/>
          <w:b/>
          <w:color w:val="000000" w:themeColor="text1"/>
          <w:sz w:val="32"/>
          <w:szCs w:val="32"/>
          <w14:textFill>
            <w14:solidFill>
              <w14:schemeClr w14:val="tx1"/>
            </w14:solidFill>
          </w14:textFill>
        </w:rPr>
        <w:t>生源</w:t>
      </w:r>
      <w:bookmarkEnd w:id="62"/>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1.入学前户籍在厦门市但学籍不在厦门市的普通教育全日制毕业生；</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2.入学前户籍和学籍虽不在厦门市，但本次公开招聘报名截止日前父母或配偶有一方户籍在厦门市的普通教育全日制</w:t>
      </w:r>
      <w:r>
        <w:rPr>
          <w:rFonts w:ascii="仿宋_GB2312" w:eastAsia="仿宋_GB2312"/>
          <w:color w:val="000000" w:themeColor="text1"/>
          <w:sz w:val="32"/>
          <w:szCs w:val="32"/>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年应届毕业生；</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3.根据厦府办〔2011〕229号文规定来我市就读普通高中且将户籍迁入我市的外来学生，普通高中毕业后从我市考入普通高等院校的全日制普通教育毕业生。</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福建生源类推界定。</w:t>
      </w:r>
    </w:p>
    <w:p>
      <w:pPr>
        <w:numPr>
          <w:ilvl w:val="0"/>
          <w:numId w:val="7"/>
        </w:numPr>
        <w:outlineLvl w:val="1"/>
        <w:rPr>
          <w:rFonts w:ascii="仿宋_GB2312" w:eastAsia="仿宋_GB2312"/>
          <w:b/>
          <w:color w:val="000000" w:themeColor="text1"/>
          <w:sz w:val="32"/>
          <w:szCs w:val="32"/>
          <w14:textFill>
            <w14:solidFill>
              <w14:schemeClr w14:val="tx1"/>
            </w14:solidFill>
          </w14:textFill>
        </w:rPr>
      </w:pPr>
      <w:bookmarkStart w:id="63" w:name="_Toc791317952"/>
      <w:r>
        <w:rPr>
          <w:rFonts w:hint="eastAsia" w:ascii="楷体" w:hAnsi="楷体" w:eastAsia="楷体"/>
          <w:b/>
          <w:color w:val="000000" w:themeColor="text1"/>
          <w:sz w:val="32"/>
          <w:szCs w:val="32"/>
          <w14:textFill>
            <w14:solidFill>
              <w14:schemeClr w14:val="tx1"/>
            </w14:solidFill>
          </w14:textFill>
        </w:rPr>
        <w:t>港澳台人员</w:t>
      </w:r>
      <w:bookmarkEnd w:id="63"/>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港澳台人员（不得持有外国籍）的招聘，按照国家、省和我市有关规定办理。</w:t>
      </w:r>
    </w:p>
    <w:p>
      <w:pPr>
        <w:numPr>
          <w:ilvl w:val="0"/>
          <w:numId w:val="7"/>
        </w:numPr>
        <w:outlineLvl w:val="1"/>
        <w:rPr>
          <w:rFonts w:ascii="仿宋_GB2312" w:eastAsia="仿宋_GB2312"/>
          <w:b/>
          <w:color w:val="000000" w:themeColor="text1"/>
          <w:sz w:val="32"/>
          <w:szCs w:val="32"/>
          <w14:textFill>
            <w14:solidFill>
              <w14:schemeClr w14:val="tx1"/>
            </w14:solidFill>
          </w14:textFill>
        </w:rPr>
      </w:pPr>
      <w:bookmarkStart w:id="64" w:name="_Toc1226078168"/>
      <w:r>
        <w:rPr>
          <w:rFonts w:hint="eastAsia" w:ascii="楷体" w:hAnsi="楷体" w:eastAsia="楷体"/>
          <w:b/>
          <w:color w:val="000000" w:themeColor="text1"/>
          <w:sz w:val="32"/>
          <w:szCs w:val="32"/>
          <w14:textFill>
            <w14:solidFill>
              <w14:schemeClr w14:val="tx1"/>
            </w14:solidFill>
          </w14:textFill>
        </w:rPr>
        <w:t>技工院校毕业生</w:t>
      </w:r>
      <w:bookmarkEnd w:id="6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ascii="黑体" w:hAnsi="黑体" w:eastAsia="黑体"/>
          <w:b/>
          <w:bCs/>
          <w:color w:val="000000" w:themeColor="text1"/>
          <w:sz w:val="32"/>
          <w:szCs w:val="32"/>
          <w14:textFill>
            <w14:solidFill>
              <w14:schemeClr w14:val="tx1"/>
            </w14:solidFill>
          </w14:textFill>
        </w:rPr>
      </w:pPr>
      <w:bookmarkStart w:id="65" w:name="_Toc1685327060"/>
      <w:r>
        <w:rPr>
          <w:rFonts w:hint="eastAsia" w:ascii="黑体" w:hAnsi="黑体" w:eastAsia="黑体"/>
          <w:b/>
          <w:bCs/>
          <w:color w:val="000000" w:themeColor="text1"/>
          <w:sz w:val="32"/>
          <w:szCs w:val="32"/>
          <w14:textFill>
            <w14:solidFill>
              <w14:schemeClr w14:val="tx1"/>
            </w14:solidFill>
          </w14:textFill>
        </w:rPr>
        <w:t>疫情防控要求</w:t>
      </w:r>
      <w:bookmarkEnd w:id="65"/>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疫情防控要求贯穿本次招聘全程，将严格按照厦门市应对新冠肺炎疫情工作指挥部最新部署，严密落实新冠肺炎疫情防控要求，考生务必遵照疫情防控要求，提前做好行程规划，以免错失考试资格。本简章发布之日起至招聘结束，如境内新增中高风险地区，从境内中高风险地区、国（境）外地区来厦的，按我市疫情防控规定执行。</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招聘疫情防控要求请及时关注“网上考务信息通知”。必要时或有疑问，请拨打咨询专线0592-3279055获知相关政策信息。瞒报、谎报、不履行相关承诺人员将承担法律责任。</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95008659"/>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595008659"/>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1">
    <w:nsid w:val="B50CCCFE"/>
    <w:multiLevelType w:val="singleLevel"/>
    <w:tmpl w:val="B50CCCFE"/>
    <w:lvl w:ilvl="0" w:tentative="0">
      <w:start w:val="1"/>
      <w:numFmt w:val="chineseCounting"/>
      <w:suff w:val="nothing"/>
      <w:lvlText w:val="（%1）"/>
      <w:lvlJc w:val="left"/>
      <w:rPr>
        <w:rFonts w:hint="eastAsia"/>
      </w:rPr>
    </w:lvl>
  </w:abstractNum>
  <w:abstractNum w:abstractNumId="2">
    <w:nsid w:val="BE17E7BB"/>
    <w:multiLevelType w:val="singleLevel"/>
    <w:tmpl w:val="BE17E7BB"/>
    <w:lvl w:ilvl="0" w:tentative="0">
      <w:start w:val="3"/>
      <w:numFmt w:val="chineseCounting"/>
      <w:suff w:val="nothing"/>
      <w:lvlText w:val="（%1）"/>
      <w:lvlJc w:val="left"/>
      <w:rPr>
        <w:rFonts w:hint="eastAsia"/>
      </w:rPr>
    </w:lvl>
  </w:abstractNum>
  <w:abstractNum w:abstractNumId="3">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4">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5">
    <w:nsid w:val="4CE06CD0"/>
    <w:multiLevelType w:val="multilevel"/>
    <w:tmpl w:val="4CE06CD0"/>
    <w:lvl w:ilvl="0" w:tentative="0">
      <w:start w:val="4"/>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6DCB4CBE"/>
    <w:multiLevelType w:val="singleLevel"/>
    <w:tmpl w:val="6DCB4CBE"/>
    <w:lvl w:ilvl="0" w:tentative="0">
      <w:start w:val="1"/>
      <w:numFmt w:val="chineseCounting"/>
      <w:suff w:val="nothing"/>
      <w:lvlText w:val="（%1）"/>
      <w:lvlJc w:val="left"/>
      <w:pPr>
        <w:ind w:left="5" w:firstLine="420"/>
      </w:pPr>
      <w:rPr>
        <w:rFonts w:hint="eastAsia"/>
        <w:strike w:val="0"/>
        <w:dstrike w:val="0"/>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9754B"/>
    <w:rsid w:val="00137BC5"/>
    <w:rsid w:val="0014786A"/>
    <w:rsid w:val="0017732C"/>
    <w:rsid w:val="001E23EC"/>
    <w:rsid w:val="00283FFF"/>
    <w:rsid w:val="003477C2"/>
    <w:rsid w:val="0039564C"/>
    <w:rsid w:val="003D7C72"/>
    <w:rsid w:val="00411323"/>
    <w:rsid w:val="00413DE3"/>
    <w:rsid w:val="00425EEA"/>
    <w:rsid w:val="00450EB7"/>
    <w:rsid w:val="004F2539"/>
    <w:rsid w:val="00511B07"/>
    <w:rsid w:val="005F662B"/>
    <w:rsid w:val="00683B69"/>
    <w:rsid w:val="006E045E"/>
    <w:rsid w:val="006F2B8F"/>
    <w:rsid w:val="0078057C"/>
    <w:rsid w:val="0080108D"/>
    <w:rsid w:val="00820B8F"/>
    <w:rsid w:val="00AA508C"/>
    <w:rsid w:val="00CA3A16"/>
    <w:rsid w:val="00D20FE5"/>
    <w:rsid w:val="00E501FF"/>
    <w:rsid w:val="00E60313"/>
    <w:rsid w:val="00EE3D6C"/>
    <w:rsid w:val="00F23583"/>
    <w:rsid w:val="012E4057"/>
    <w:rsid w:val="01706B3D"/>
    <w:rsid w:val="01877A92"/>
    <w:rsid w:val="01E54F4F"/>
    <w:rsid w:val="029C19EF"/>
    <w:rsid w:val="02AF79A2"/>
    <w:rsid w:val="034E4D00"/>
    <w:rsid w:val="040A5012"/>
    <w:rsid w:val="0431644B"/>
    <w:rsid w:val="055067D2"/>
    <w:rsid w:val="060D0DBE"/>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E381C14"/>
    <w:rsid w:val="1FAD1DE7"/>
    <w:rsid w:val="1FAE3AD8"/>
    <w:rsid w:val="20717870"/>
    <w:rsid w:val="207874E7"/>
    <w:rsid w:val="20D11DC7"/>
    <w:rsid w:val="2107136B"/>
    <w:rsid w:val="212E6965"/>
    <w:rsid w:val="21771570"/>
    <w:rsid w:val="21CD6AB5"/>
    <w:rsid w:val="21F41D88"/>
    <w:rsid w:val="23916A34"/>
    <w:rsid w:val="23DA0315"/>
    <w:rsid w:val="23FF64C8"/>
    <w:rsid w:val="242714D3"/>
    <w:rsid w:val="248C709C"/>
    <w:rsid w:val="25454C78"/>
    <w:rsid w:val="25B64A56"/>
    <w:rsid w:val="2690248F"/>
    <w:rsid w:val="27434329"/>
    <w:rsid w:val="27A609B1"/>
    <w:rsid w:val="27E04362"/>
    <w:rsid w:val="28654F9C"/>
    <w:rsid w:val="287A7EB7"/>
    <w:rsid w:val="29DC3048"/>
    <w:rsid w:val="2A07393E"/>
    <w:rsid w:val="2A9640F7"/>
    <w:rsid w:val="2AB93EDB"/>
    <w:rsid w:val="2D0A1C91"/>
    <w:rsid w:val="2D146264"/>
    <w:rsid w:val="2D1620D0"/>
    <w:rsid w:val="2D3D3232"/>
    <w:rsid w:val="2E10141D"/>
    <w:rsid w:val="2ED55ABF"/>
    <w:rsid w:val="2EE36BA3"/>
    <w:rsid w:val="2F284924"/>
    <w:rsid w:val="2FF31FA0"/>
    <w:rsid w:val="30496ABC"/>
    <w:rsid w:val="32A52DB1"/>
    <w:rsid w:val="330D7063"/>
    <w:rsid w:val="331D1B45"/>
    <w:rsid w:val="34054802"/>
    <w:rsid w:val="34171B12"/>
    <w:rsid w:val="34D735D7"/>
    <w:rsid w:val="351F4E18"/>
    <w:rsid w:val="357E6D44"/>
    <w:rsid w:val="36254EF0"/>
    <w:rsid w:val="36433543"/>
    <w:rsid w:val="388147D1"/>
    <w:rsid w:val="38A17E31"/>
    <w:rsid w:val="38E170A5"/>
    <w:rsid w:val="3BA03D2D"/>
    <w:rsid w:val="3BE508DC"/>
    <w:rsid w:val="3CAA7142"/>
    <w:rsid w:val="3D3C6670"/>
    <w:rsid w:val="3D5926B2"/>
    <w:rsid w:val="3E562D7D"/>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7DA895A"/>
    <w:rsid w:val="4A880C0A"/>
    <w:rsid w:val="4C3825A0"/>
    <w:rsid w:val="4C9B4511"/>
    <w:rsid w:val="4D667BAF"/>
    <w:rsid w:val="4E073F0E"/>
    <w:rsid w:val="4EBD7FB6"/>
    <w:rsid w:val="4EC918D2"/>
    <w:rsid w:val="4EE73456"/>
    <w:rsid w:val="4F895F71"/>
    <w:rsid w:val="50247421"/>
    <w:rsid w:val="50B679B6"/>
    <w:rsid w:val="53564D9D"/>
    <w:rsid w:val="540313D5"/>
    <w:rsid w:val="54EC7875"/>
    <w:rsid w:val="554A40DA"/>
    <w:rsid w:val="557377A3"/>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5FF196F9"/>
    <w:rsid w:val="603C3BAE"/>
    <w:rsid w:val="612F6021"/>
    <w:rsid w:val="61A8597B"/>
    <w:rsid w:val="633A3546"/>
    <w:rsid w:val="6529276A"/>
    <w:rsid w:val="65561D37"/>
    <w:rsid w:val="67587B68"/>
    <w:rsid w:val="68753401"/>
    <w:rsid w:val="68C55500"/>
    <w:rsid w:val="69767728"/>
    <w:rsid w:val="6A1F5B15"/>
    <w:rsid w:val="6A1F6AAF"/>
    <w:rsid w:val="6ACA2314"/>
    <w:rsid w:val="6BB97558"/>
    <w:rsid w:val="6BE172C8"/>
    <w:rsid w:val="6BFFF48F"/>
    <w:rsid w:val="6CA42558"/>
    <w:rsid w:val="6D9912B9"/>
    <w:rsid w:val="6E5D1E1F"/>
    <w:rsid w:val="6E5F2B55"/>
    <w:rsid w:val="6E69026A"/>
    <w:rsid w:val="6F122394"/>
    <w:rsid w:val="708C0CCC"/>
    <w:rsid w:val="70EA56E6"/>
    <w:rsid w:val="70EE53CD"/>
    <w:rsid w:val="712712B8"/>
    <w:rsid w:val="732B3035"/>
    <w:rsid w:val="736B2384"/>
    <w:rsid w:val="739D0957"/>
    <w:rsid w:val="74177270"/>
    <w:rsid w:val="746F7336"/>
    <w:rsid w:val="747852FC"/>
    <w:rsid w:val="75CD167C"/>
    <w:rsid w:val="75FD37C1"/>
    <w:rsid w:val="777506C5"/>
    <w:rsid w:val="77EC41DA"/>
    <w:rsid w:val="78123420"/>
    <w:rsid w:val="785B6B77"/>
    <w:rsid w:val="78DE52DA"/>
    <w:rsid w:val="78E77648"/>
    <w:rsid w:val="793C4AC0"/>
    <w:rsid w:val="795F3C44"/>
    <w:rsid w:val="796650F2"/>
    <w:rsid w:val="796D3657"/>
    <w:rsid w:val="7A2B232E"/>
    <w:rsid w:val="7A595755"/>
    <w:rsid w:val="7BED1B53"/>
    <w:rsid w:val="7D4A461B"/>
    <w:rsid w:val="7D8E4E41"/>
    <w:rsid w:val="7DA302C5"/>
    <w:rsid w:val="7E411833"/>
    <w:rsid w:val="7E924827"/>
    <w:rsid w:val="7EFBF8E5"/>
    <w:rsid w:val="7F2BF76F"/>
    <w:rsid w:val="7F526B1C"/>
    <w:rsid w:val="7F735C0B"/>
    <w:rsid w:val="7F771774"/>
    <w:rsid w:val="7FE650A6"/>
    <w:rsid w:val="8F6FA28F"/>
    <w:rsid w:val="AD4FB14E"/>
    <w:rsid w:val="D3FF8DEB"/>
    <w:rsid w:val="E56FF8AC"/>
    <w:rsid w:val="E7DDF21B"/>
    <w:rsid w:val="FAFCF284"/>
    <w:rsid w:val="FC6BFF44"/>
    <w:rsid w:val="FF7D222F"/>
    <w:rsid w:val="FFD7C437"/>
    <w:rsid w:val="FFF78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WPSOffice手动目录 3"/>
    <w:qFormat/>
    <w:uiPriority w:val="0"/>
    <w:pPr>
      <w:ind w:left="400" w:leftChars="400"/>
    </w:pPr>
    <w:rPr>
      <w:rFonts w:ascii="Calibri" w:hAnsi="Calibri" w:eastAsia="宋体" w:cs="Times New Roman"/>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1649</Words>
  <Characters>9403</Characters>
  <Lines>78</Lines>
  <Paragraphs>22</Paragraphs>
  <TotalTime>10</TotalTime>
  <ScaleCrop>false</ScaleCrop>
  <LinksUpToDate>false</LinksUpToDate>
  <CharactersWithSpaces>11030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2022-03-10T23:42:00Z</dcterms:created>
  <dc:creator>dell</dc:creator>
  <cp:lastModifiedBy>CYSherlockH</cp:lastModifiedBy>
  <cp:lastPrinted>2022-03-15T07:01:04Z</cp:lastPrinted>
  <dcterms:modified xsi:type="dcterms:W3CDTF">2022-03-15T07:07:42Z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ED92CE76CC9643C5BECED2E2B22DAEED</vt:lpwstr>
  </property>
</Properties>
</file>