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12B61">
      <w:pPr>
        <w:keepNext w:val="0"/>
        <w:keepLines w:val="0"/>
        <w:pageBreakBefore w:val="0"/>
        <w:kinsoku/>
        <w:wordWrap/>
        <w:overflowPunct/>
        <w:topLinePunct w:val="0"/>
        <w:autoSpaceDE/>
        <w:autoSpaceDN/>
        <w:bidi w:val="0"/>
        <w:spacing w:line="600" w:lineRule="exact"/>
        <w:jc w:val="center"/>
        <w:textAlignment w:val="auto"/>
        <w:outlineLvl w:val="0"/>
        <w:rPr>
          <w:rFonts w:hint="eastAsia" w:ascii="宋体" w:hAnsi="宋体" w:eastAsia="宋体" w:cs="宋体"/>
          <w:b/>
          <w:color w:val="auto"/>
          <w:w w:val="85"/>
          <w:kern w:val="0"/>
          <w:sz w:val="44"/>
          <w:szCs w:val="44"/>
          <w:highlight w:val="none"/>
        </w:rPr>
      </w:pPr>
      <w:r>
        <w:rPr>
          <w:rFonts w:hint="eastAsia" w:ascii="宋体" w:hAnsi="宋体" w:eastAsia="宋体" w:cs="宋体"/>
          <w:b/>
          <w:color w:val="auto"/>
          <w:w w:val="85"/>
          <w:kern w:val="0"/>
          <w:sz w:val="44"/>
          <w:szCs w:val="44"/>
          <w:highlight w:val="none"/>
        </w:rPr>
        <w:t>厦门市肿瘤医院（复旦肿瘤厦门医院）</w:t>
      </w:r>
    </w:p>
    <w:p w14:paraId="0334271F">
      <w:pPr>
        <w:keepNext w:val="0"/>
        <w:keepLines w:val="0"/>
        <w:pageBreakBefore w:val="0"/>
        <w:kinsoku/>
        <w:wordWrap/>
        <w:overflowPunct/>
        <w:topLinePunct w:val="0"/>
        <w:autoSpaceDE/>
        <w:autoSpaceDN/>
        <w:bidi w:val="0"/>
        <w:spacing w:line="600" w:lineRule="exact"/>
        <w:jc w:val="center"/>
        <w:textAlignment w:val="auto"/>
        <w:outlineLvl w:val="0"/>
        <w:rPr>
          <w:rFonts w:hint="eastAsia" w:ascii="宋体" w:hAnsi="宋体" w:eastAsia="宋体" w:cs="宋体"/>
          <w:b/>
          <w:color w:val="auto"/>
          <w:w w:val="85"/>
          <w:kern w:val="0"/>
          <w:sz w:val="44"/>
          <w:szCs w:val="44"/>
          <w:highlight w:val="none"/>
          <w:lang w:eastAsia="zh-CN"/>
        </w:rPr>
      </w:pPr>
      <w:r>
        <w:rPr>
          <w:rFonts w:hint="eastAsia" w:ascii="宋体" w:hAnsi="宋体" w:eastAsia="宋体" w:cs="宋体"/>
          <w:b/>
          <w:color w:val="auto"/>
          <w:w w:val="85"/>
          <w:kern w:val="0"/>
          <w:sz w:val="44"/>
          <w:szCs w:val="44"/>
          <w:highlight w:val="none"/>
        </w:rPr>
        <w:t>公开招聘事业单位人员报考须知（2025年3月）</w:t>
      </w:r>
    </w:p>
    <w:p w14:paraId="2D4B19ED">
      <w:pPr>
        <w:keepNext w:val="0"/>
        <w:keepLines w:val="0"/>
        <w:pageBreakBefore w:val="0"/>
        <w:kinsoku/>
        <w:wordWrap/>
        <w:overflowPunct/>
        <w:topLinePunct w:val="0"/>
        <w:autoSpaceDE/>
        <w:autoSpaceDN/>
        <w:bidi w:val="0"/>
        <w:spacing w:line="600" w:lineRule="exact"/>
        <w:jc w:val="center"/>
        <w:textAlignment w:val="auto"/>
        <w:outlineLvl w:val="9"/>
        <w:rPr>
          <w:rFonts w:hint="eastAsia" w:ascii="华文仿宋" w:hAnsi="华文仿宋" w:eastAsia="华文仿宋" w:cs="华文仿宋"/>
          <w:b/>
          <w:color w:val="auto"/>
          <w:w w:val="85"/>
          <w:kern w:val="0"/>
          <w:sz w:val="44"/>
          <w:szCs w:val="44"/>
          <w:highlight w:val="none"/>
          <w:lang w:eastAsia="zh-CN"/>
        </w:rPr>
      </w:pPr>
    </w:p>
    <w:p w14:paraId="5AA3DE10">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目</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录</w:t>
      </w:r>
    </w:p>
    <w:p w14:paraId="3FCAB9A3">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"_Toc151"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一、基本条件</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_Toc151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177A92C">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"_Toc32348"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二、不得报考或取消报考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聘用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资格的情形</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_Toc32348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D2B3AE3">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"_Toc15808"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三、选报岗位</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_Toc15808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523516A">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"_Toc9644"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四、年龄、资格</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等的计算办法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_Toc9644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7AA6D7B">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"_Toc1966"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五、学历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认定</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_Toc1966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485FB8C">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"_Toc17142"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六、专业认定</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_Toc17142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155516D">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"_Toc30515"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七、工作经历认定</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_Toc30515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D52ECF5">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"_Toc724"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八、考试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_Toc724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18823D1">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"_Toc1149"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九、体检</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_Toc1149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9</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D604802">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"_Toc24411"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十、考察</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_Toc24411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1B1216A">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"_Toc12913"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十一、聘用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_Toc12913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C6C713D">
      <w:pPr>
        <w:pStyle w:val="23"/>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right="0" w:righ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"_Toc31199"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十二、其他事项</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_Toc31199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139FB79">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end"/>
      </w:r>
    </w:p>
    <w:p w14:paraId="21F45256">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hint="eastAsia" w:ascii="仿宋" w:hAnsi="仿宋" w:eastAsia="仿宋" w:cs="仿宋"/>
          <w:color w:val="auto"/>
          <w:sz w:val="32"/>
          <w:szCs w:val="32"/>
          <w:highlight w:val="none"/>
        </w:rPr>
        <w:sectPr>
          <w:pgSz w:w="11906" w:h="16838"/>
          <w:pgMar w:top="1440" w:right="1800" w:bottom="1440" w:left="1800" w:header="851" w:footer="992" w:gutter="0"/>
          <w:pgNumType w:start="1"/>
          <w:cols w:space="720" w:num="1"/>
          <w:docGrid w:type="lines" w:linePitch="312" w:charSpace="0"/>
        </w:sectPr>
      </w:pPr>
    </w:p>
    <w:p w14:paraId="462F26B2">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val="0"/>
          <w:bCs w:val="0"/>
          <w:color w:val="auto"/>
          <w:kern w:val="0"/>
          <w:sz w:val="32"/>
          <w:szCs w:val="32"/>
          <w:highlight w:val="none"/>
        </w:rPr>
        <w:t>根据厦门市政府</w:t>
      </w:r>
      <w:r>
        <w:rPr>
          <w:rFonts w:hint="eastAsia" w:ascii="仿宋" w:hAnsi="仿宋" w:eastAsia="仿宋" w:cs="仿宋"/>
          <w:b w:val="0"/>
          <w:bCs w:val="0"/>
          <w:color w:val="auto"/>
          <w:kern w:val="0"/>
          <w:sz w:val="32"/>
          <w:szCs w:val="32"/>
          <w:highlight w:val="none"/>
          <w:lang w:val="en-US" w:eastAsia="zh-CN"/>
        </w:rPr>
        <w:t>与复旦大学</w:t>
      </w:r>
      <w:r>
        <w:rPr>
          <w:rFonts w:hint="eastAsia" w:ascii="仿宋" w:hAnsi="仿宋" w:eastAsia="仿宋" w:cs="仿宋"/>
          <w:b w:val="0"/>
          <w:bCs w:val="0"/>
          <w:color w:val="auto"/>
          <w:kern w:val="0"/>
          <w:sz w:val="32"/>
          <w:szCs w:val="32"/>
          <w:highlight w:val="none"/>
        </w:rPr>
        <w:t>附属肿瘤医院</w:t>
      </w:r>
      <w:r>
        <w:rPr>
          <w:rFonts w:hint="eastAsia" w:ascii="仿宋" w:hAnsi="仿宋" w:eastAsia="仿宋" w:cs="仿宋"/>
          <w:b w:val="0"/>
          <w:bCs w:val="0"/>
          <w:color w:val="auto"/>
          <w:kern w:val="0"/>
          <w:sz w:val="32"/>
          <w:szCs w:val="32"/>
          <w:highlight w:val="none"/>
          <w:lang w:val="en-US" w:eastAsia="zh-CN"/>
        </w:rPr>
        <w:t>签订的《</w:t>
      </w:r>
      <w:r>
        <w:rPr>
          <w:rFonts w:hint="eastAsia" w:ascii="仿宋" w:hAnsi="仿宋" w:eastAsia="仿宋" w:cs="仿宋"/>
          <w:b w:val="0"/>
          <w:bCs w:val="0"/>
          <w:color w:val="auto"/>
          <w:kern w:val="0"/>
          <w:sz w:val="32"/>
          <w:szCs w:val="32"/>
          <w:highlight w:val="none"/>
        </w:rPr>
        <w:t>关于合作建设运营</w:t>
      </w:r>
      <w:r>
        <w:rPr>
          <w:rFonts w:hint="eastAsia" w:ascii="仿宋" w:hAnsi="仿宋" w:eastAsia="仿宋" w:cs="仿宋"/>
          <w:b w:val="0"/>
          <w:bCs w:val="0"/>
          <w:color w:val="auto"/>
          <w:kern w:val="0"/>
          <w:sz w:val="32"/>
          <w:szCs w:val="32"/>
          <w:highlight w:val="none"/>
          <w:lang w:eastAsia="zh-CN"/>
        </w:rPr>
        <w:t>“</w:t>
      </w:r>
      <w:r>
        <w:rPr>
          <w:rFonts w:hint="eastAsia" w:ascii="仿宋" w:hAnsi="仿宋" w:eastAsia="仿宋" w:cs="仿宋"/>
          <w:b w:val="0"/>
          <w:bCs w:val="0"/>
          <w:color w:val="auto"/>
          <w:kern w:val="0"/>
          <w:sz w:val="32"/>
          <w:szCs w:val="32"/>
          <w:highlight w:val="none"/>
          <w:lang w:val="en-US" w:eastAsia="zh-CN"/>
        </w:rPr>
        <w:t>复旦</w:t>
      </w:r>
      <w:r>
        <w:rPr>
          <w:rFonts w:hint="eastAsia" w:ascii="仿宋" w:hAnsi="仿宋" w:eastAsia="仿宋" w:cs="仿宋"/>
          <w:b w:val="0"/>
          <w:bCs w:val="0"/>
          <w:color w:val="auto"/>
          <w:kern w:val="0"/>
          <w:sz w:val="32"/>
          <w:szCs w:val="32"/>
          <w:highlight w:val="none"/>
        </w:rPr>
        <w:t>大学附属肿瘤医院厦门医院</w:t>
      </w:r>
      <w:r>
        <w:rPr>
          <w:rFonts w:hint="eastAsia" w:ascii="仿宋" w:hAnsi="仿宋" w:eastAsia="仿宋" w:cs="仿宋"/>
          <w:b w:val="0"/>
          <w:bCs w:val="0"/>
          <w:color w:val="auto"/>
          <w:kern w:val="0"/>
          <w:sz w:val="32"/>
          <w:szCs w:val="32"/>
          <w:highlight w:val="none"/>
          <w:lang w:eastAsia="zh-CN"/>
        </w:rPr>
        <w:t>”</w:t>
      </w:r>
      <w:r>
        <w:rPr>
          <w:rFonts w:hint="eastAsia" w:ascii="仿宋" w:hAnsi="仿宋" w:eastAsia="仿宋" w:cs="仿宋"/>
          <w:b w:val="0"/>
          <w:bCs w:val="0"/>
          <w:color w:val="auto"/>
          <w:kern w:val="0"/>
          <w:sz w:val="32"/>
          <w:szCs w:val="32"/>
          <w:highlight w:val="none"/>
        </w:rPr>
        <w:t>协议书》</w:t>
      </w:r>
      <w:r>
        <w:rPr>
          <w:rFonts w:hint="eastAsia" w:ascii="仿宋" w:hAnsi="仿宋" w:eastAsia="仿宋" w:cs="仿宋"/>
          <w:b w:val="0"/>
          <w:bCs w:val="0"/>
          <w:color w:val="auto"/>
          <w:kern w:val="0"/>
          <w:sz w:val="32"/>
          <w:szCs w:val="32"/>
          <w:highlight w:val="none"/>
          <w:lang w:eastAsia="zh-CN"/>
        </w:rPr>
        <w:t>，</w:t>
      </w:r>
      <w:r>
        <w:rPr>
          <w:rFonts w:hint="eastAsia" w:ascii="仿宋" w:hAnsi="仿宋" w:eastAsia="仿宋" w:cs="仿宋"/>
          <w:b w:val="0"/>
          <w:bCs w:val="0"/>
          <w:color w:val="auto"/>
          <w:kern w:val="0"/>
          <w:sz w:val="32"/>
          <w:szCs w:val="32"/>
          <w:highlight w:val="none"/>
          <w:lang w:val="en-US" w:eastAsia="zh-CN"/>
        </w:rPr>
        <w:t>因业务发展需要，决定组织实施厦门市肿瘤医院（复旦肿瘤厦门医院）公开招聘事业单位人员考试</w:t>
      </w:r>
      <w:r>
        <w:rPr>
          <w:rFonts w:hint="eastAsia" w:ascii="仿宋" w:hAnsi="仿宋" w:eastAsia="仿宋" w:cs="仿宋"/>
          <w:b w:val="0"/>
          <w:bCs w:val="0"/>
          <w:color w:val="auto"/>
          <w:kern w:val="0"/>
          <w:sz w:val="32"/>
          <w:szCs w:val="32"/>
          <w:highlight w:val="none"/>
        </w:rPr>
        <w:t>，相关事宜如下</w:t>
      </w:r>
      <w:r>
        <w:rPr>
          <w:rFonts w:hint="eastAsia" w:ascii="仿宋" w:hAnsi="仿宋" w:eastAsia="仿宋" w:cs="仿宋"/>
          <w:b w:val="0"/>
          <w:bCs w:val="0"/>
          <w:color w:val="auto"/>
          <w:kern w:val="0"/>
          <w:sz w:val="32"/>
          <w:szCs w:val="32"/>
          <w:highlight w:val="none"/>
          <w:lang w:eastAsia="zh-CN"/>
        </w:rPr>
        <w:t>：</w:t>
      </w:r>
    </w:p>
    <w:p w14:paraId="1DE7739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0" w:name="_Toc14381"/>
      <w:bookmarkStart w:id="1" w:name="_Toc10459"/>
      <w:bookmarkStart w:id="2" w:name="_Toc26791"/>
      <w:bookmarkStart w:id="3" w:name="_Toc14912"/>
      <w:bookmarkStart w:id="4" w:name="_Toc151"/>
      <w:bookmarkStart w:id="5" w:name="_Toc32253"/>
      <w:bookmarkStart w:id="6" w:name="_Toc23801"/>
      <w:bookmarkStart w:id="7" w:name="_Toc3629"/>
      <w:r>
        <w:rPr>
          <w:rFonts w:hint="eastAsia" w:ascii="黑体" w:hAnsi="黑体" w:eastAsia="黑体" w:cs="黑体"/>
          <w:b w:val="0"/>
          <w:bCs w:val="0"/>
          <w:color w:val="auto"/>
          <w:sz w:val="32"/>
          <w:szCs w:val="32"/>
          <w:highlight w:val="none"/>
        </w:rPr>
        <w:t>一、基本条件</w:t>
      </w:r>
      <w:bookmarkEnd w:id="0"/>
      <w:bookmarkEnd w:id="1"/>
      <w:bookmarkEnd w:id="2"/>
      <w:bookmarkEnd w:id="3"/>
      <w:bookmarkEnd w:id="4"/>
      <w:bookmarkEnd w:id="5"/>
      <w:bookmarkEnd w:id="6"/>
      <w:bookmarkEnd w:id="7"/>
    </w:p>
    <w:p w14:paraId="7B9C605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8" w:name="_Toc5812"/>
      <w:bookmarkStart w:id="9" w:name="_Toc24502"/>
      <w:bookmarkStart w:id="10" w:name="_Toc25192"/>
      <w:bookmarkStart w:id="11" w:name="_Toc6090"/>
      <w:bookmarkStart w:id="12" w:name="_Toc22673"/>
      <w:bookmarkStart w:id="13" w:name="_Toc20470"/>
      <w:bookmarkStart w:id="14" w:name="_Toc5197"/>
      <w:bookmarkStart w:id="15" w:name="_Toc3363"/>
      <w:bookmarkStart w:id="16" w:name="_Toc25850"/>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一</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具有中华人民共和国国籍；</w:t>
      </w:r>
      <w:bookmarkEnd w:id="8"/>
    </w:p>
    <w:p w14:paraId="15537B1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拥护中华人民共和国宪法，拥护中国共产党领导和社会主义制度；</w:t>
      </w:r>
    </w:p>
    <w:p w14:paraId="5F2857A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17" w:name="_Toc20094_WPSOffice_Level2"/>
      <w:bookmarkStart w:id="18" w:name="_Toc7847_WPSOffice_Level2"/>
      <w:bookmarkStart w:id="19" w:name="_Toc6014_WPSOffice_Level2"/>
      <w:bookmarkStart w:id="20" w:name="_Toc9634_WPSOffice_Level2"/>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三</w:t>
      </w:r>
      <w:bookmarkEnd w:id="17"/>
      <w:bookmarkEnd w:id="18"/>
      <w:bookmarkEnd w:id="19"/>
      <w:bookmarkEnd w:id="20"/>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热爱卫生健康事业，具有良好的政治素质和职业道德；</w:t>
      </w:r>
    </w:p>
    <w:p w14:paraId="2129BB0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四</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具备正常履行职责的身体条件和心理素质；</w:t>
      </w:r>
    </w:p>
    <w:p w14:paraId="0ACCC04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五</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具备招聘岗位设置的资格条件。</w:t>
      </w:r>
    </w:p>
    <w:p w14:paraId="4540C4E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21" w:name="_Toc32348"/>
      <w:r>
        <w:rPr>
          <w:rFonts w:hint="eastAsia" w:ascii="黑体" w:hAnsi="黑体" w:eastAsia="黑体" w:cs="黑体"/>
          <w:b w:val="0"/>
          <w:bCs w:val="0"/>
          <w:color w:val="auto"/>
          <w:sz w:val="32"/>
          <w:szCs w:val="32"/>
          <w:highlight w:val="none"/>
        </w:rPr>
        <w:t>二、不得报考或取消报考</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聘用</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资格的情形</w:t>
      </w:r>
      <w:bookmarkEnd w:id="9"/>
      <w:bookmarkEnd w:id="10"/>
      <w:bookmarkEnd w:id="11"/>
      <w:bookmarkEnd w:id="12"/>
      <w:bookmarkEnd w:id="13"/>
      <w:bookmarkEnd w:id="14"/>
      <w:bookmarkEnd w:id="15"/>
      <w:bookmarkEnd w:id="16"/>
      <w:bookmarkEnd w:id="21"/>
    </w:p>
    <w:p w14:paraId="28F2E04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22" w:name="_Toc9365"/>
      <w:bookmarkStart w:id="23" w:name="_Toc20746"/>
      <w:bookmarkStart w:id="24" w:name="_Toc28345"/>
      <w:bookmarkStart w:id="25" w:name="_Toc24432"/>
      <w:bookmarkStart w:id="26" w:name="_Toc6005"/>
      <w:bookmarkStart w:id="27" w:name="_Toc27877"/>
      <w:bookmarkStart w:id="28" w:name="_Toc14770"/>
      <w:bookmarkStart w:id="29" w:name="_Toc15808"/>
      <w:bookmarkStart w:id="30" w:name="_Toc32418"/>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一</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曾因犯罪受过刑事处罚的；</w:t>
      </w:r>
    </w:p>
    <w:p w14:paraId="19F1EDC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曾被开除公职或开除中国共产党党籍的；</w:t>
      </w:r>
    </w:p>
    <w:p w14:paraId="7853BF2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三</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被依法列为失信联合惩戒对象的</w:t>
      </w:r>
      <w:r>
        <w:rPr>
          <w:rFonts w:hint="eastAsia" w:ascii="仿宋" w:hAnsi="仿宋" w:eastAsia="仿宋" w:cs="仿宋"/>
          <w:b w:val="0"/>
          <w:bCs w:val="0"/>
          <w:color w:val="auto"/>
          <w:sz w:val="32"/>
          <w:szCs w:val="32"/>
          <w:highlight w:val="none"/>
          <w:lang w:eastAsia="zh-CN"/>
        </w:rPr>
        <w:t>；</w:t>
      </w:r>
    </w:p>
    <w:p w14:paraId="0C3BF41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四</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在各级公务员或事业单位招考中被认定有舞弊等严重违反录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聘</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用纪律行为的；</w:t>
      </w:r>
    </w:p>
    <w:p w14:paraId="7FBEA2A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五</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公务员或参照公务员法管理</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机关</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单位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工作人员</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以下简称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参公人员</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被辞退未满5年的；</w:t>
      </w:r>
    </w:p>
    <w:p w14:paraId="5862DD2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六</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试用期内的公务员或参公人员；未达到与当地公务员主管部门或</w:t>
      </w:r>
      <w:r>
        <w:rPr>
          <w:rFonts w:hint="eastAsia" w:ascii="仿宋" w:hAnsi="仿宋" w:eastAsia="仿宋" w:cs="仿宋"/>
          <w:b w:val="0"/>
          <w:bCs w:val="0"/>
          <w:color w:val="auto"/>
          <w:sz w:val="32"/>
          <w:szCs w:val="32"/>
          <w:highlight w:val="none"/>
          <w:lang w:val="en-US" w:eastAsia="zh-CN"/>
        </w:rPr>
        <w:t>工作</w:t>
      </w:r>
      <w:r>
        <w:rPr>
          <w:rFonts w:hint="eastAsia" w:ascii="仿宋" w:hAnsi="仿宋" w:eastAsia="仿宋" w:cs="仿宋"/>
          <w:b w:val="0"/>
          <w:bCs w:val="0"/>
          <w:color w:val="auto"/>
          <w:sz w:val="32"/>
          <w:szCs w:val="32"/>
          <w:highlight w:val="none"/>
        </w:rPr>
        <w:t>单位组织人事部门约定服务年限的公务员和参公人员；</w:t>
      </w:r>
    </w:p>
    <w:p w14:paraId="405C424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七</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现役军人；</w:t>
      </w:r>
    </w:p>
    <w:p w14:paraId="3C9ED7F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八</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普通高等院校全日制在读的非应届毕业生</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即202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年及以后才学业期满的全日制普通教育学生</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p>
    <w:p w14:paraId="7B934A3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九</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涉嫌违法犯罪正在接受司法调查</w:t>
      </w:r>
      <w:r>
        <w:rPr>
          <w:rFonts w:hint="eastAsia" w:ascii="仿宋" w:hAnsi="仿宋" w:eastAsia="仿宋" w:cs="仿宋"/>
          <w:b w:val="0"/>
          <w:bCs w:val="0"/>
          <w:color w:val="auto"/>
          <w:sz w:val="32"/>
          <w:szCs w:val="32"/>
          <w:highlight w:val="none"/>
          <w:lang w:eastAsia="zh-CN"/>
        </w:rPr>
        <w:t>未</w:t>
      </w:r>
      <w:r>
        <w:rPr>
          <w:rFonts w:hint="eastAsia" w:ascii="仿宋" w:hAnsi="仿宋" w:eastAsia="仿宋" w:cs="仿宋"/>
          <w:b w:val="0"/>
          <w:bCs w:val="0"/>
          <w:color w:val="auto"/>
          <w:sz w:val="32"/>
          <w:szCs w:val="32"/>
          <w:highlight w:val="none"/>
        </w:rPr>
        <w:t>做出结论的，或</w:t>
      </w:r>
      <w:r>
        <w:rPr>
          <w:rFonts w:hint="eastAsia" w:ascii="仿宋" w:hAnsi="仿宋" w:eastAsia="仿宋" w:cs="仿宋"/>
          <w:b w:val="0"/>
          <w:bCs w:val="0"/>
          <w:color w:val="auto"/>
          <w:sz w:val="32"/>
          <w:szCs w:val="32"/>
          <w:highlight w:val="none"/>
          <w:lang w:eastAsia="zh-CN"/>
        </w:rPr>
        <w:t>未</w:t>
      </w:r>
      <w:r>
        <w:rPr>
          <w:rFonts w:hint="eastAsia" w:ascii="仿宋" w:hAnsi="仿宋" w:eastAsia="仿宋" w:cs="仿宋"/>
          <w:b w:val="0"/>
          <w:bCs w:val="0"/>
          <w:color w:val="auto"/>
          <w:sz w:val="32"/>
          <w:szCs w:val="32"/>
          <w:highlight w:val="none"/>
        </w:rPr>
        <w:t>解除党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政</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纪处分的，或正在接受纪律审查的</w:t>
      </w:r>
      <w:r>
        <w:rPr>
          <w:rFonts w:hint="eastAsia" w:ascii="仿宋" w:hAnsi="仿宋" w:eastAsia="仿宋" w:cs="仿宋"/>
          <w:b w:val="0"/>
          <w:bCs w:val="0"/>
          <w:color w:val="auto"/>
          <w:sz w:val="32"/>
          <w:szCs w:val="32"/>
          <w:highlight w:val="none"/>
          <w:lang w:eastAsia="zh-CN"/>
        </w:rPr>
        <w:t>；</w:t>
      </w:r>
    </w:p>
    <w:p w14:paraId="7DD24E1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十</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聘用后即构成应回避关系的；</w:t>
      </w:r>
    </w:p>
    <w:p w14:paraId="7660CDF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十一</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法律法规规章规定不得聘为事业单位人员的。</w:t>
      </w:r>
    </w:p>
    <w:p w14:paraId="4FC0F86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三、选报岗位</w:t>
      </w:r>
      <w:bookmarkEnd w:id="22"/>
      <w:bookmarkEnd w:id="23"/>
      <w:bookmarkEnd w:id="24"/>
      <w:bookmarkEnd w:id="25"/>
      <w:bookmarkEnd w:id="26"/>
      <w:bookmarkEnd w:id="27"/>
      <w:bookmarkEnd w:id="28"/>
      <w:bookmarkEnd w:id="29"/>
      <w:bookmarkEnd w:id="30"/>
      <w:bookmarkStart w:id="31" w:name="_Toc25581"/>
      <w:bookmarkStart w:id="32" w:name="_Toc2901"/>
      <w:bookmarkStart w:id="33" w:name="_Toc8112"/>
      <w:bookmarkStart w:id="34" w:name="_Toc9596"/>
    </w:p>
    <w:bookmarkEnd w:id="31"/>
    <w:bookmarkEnd w:id="32"/>
    <w:bookmarkEnd w:id="33"/>
    <w:bookmarkEnd w:id="34"/>
    <w:p w14:paraId="63FD93B2">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楷体" w:hAnsi="楷体" w:eastAsia="楷体" w:cs="楷体"/>
          <w:b w:val="0"/>
          <w:bCs w:val="0"/>
          <w:color w:val="auto"/>
          <w:kern w:val="44"/>
          <w:sz w:val="32"/>
          <w:szCs w:val="32"/>
          <w:highlight w:val="none"/>
          <w:lang w:val="en-US" w:eastAsia="zh-CN"/>
        </w:rPr>
      </w:pPr>
      <w:bookmarkStart w:id="35" w:name="_Toc412"/>
      <w:bookmarkStart w:id="36" w:name="_Toc308"/>
      <w:bookmarkStart w:id="37" w:name="_Toc20198"/>
      <w:bookmarkStart w:id="38" w:name="_Toc25424"/>
      <w:bookmarkStart w:id="39" w:name="_Toc21891"/>
      <w:bookmarkStart w:id="40" w:name="_Toc16906"/>
      <w:bookmarkStart w:id="41" w:name="_Toc1624"/>
      <w:r>
        <w:rPr>
          <w:rFonts w:hint="eastAsia" w:ascii="楷体" w:hAnsi="楷体" w:eastAsia="楷体" w:cs="楷体"/>
          <w:b w:val="0"/>
          <w:bCs w:val="0"/>
          <w:color w:val="auto"/>
          <w:kern w:val="44"/>
          <w:sz w:val="32"/>
          <w:szCs w:val="32"/>
          <w:highlight w:val="none"/>
          <w:lang w:eastAsia="zh-CN"/>
        </w:rPr>
        <w:t>（</w:t>
      </w:r>
      <w:r>
        <w:rPr>
          <w:rFonts w:hint="eastAsia" w:ascii="楷体" w:hAnsi="楷体" w:eastAsia="楷体" w:cs="楷体"/>
          <w:b w:val="0"/>
          <w:bCs w:val="0"/>
          <w:color w:val="auto"/>
          <w:kern w:val="44"/>
          <w:sz w:val="32"/>
          <w:szCs w:val="32"/>
          <w:highlight w:val="none"/>
        </w:rPr>
        <w:t>一</w:t>
      </w:r>
      <w:r>
        <w:rPr>
          <w:rFonts w:hint="eastAsia" w:ascii="楷体" w:hAnsi="楷体" w:eastAsia="楷体" w:cs="楷体"/>
          <w:b w:val="0"/>
          <w:bCs w:val="0"/>
          <w:color w:val="auto"/>
          <w:kern w:val="44"/>
          <w:sz w:val="32"/>
          <w:szCs w:val="32"/>
          <w:highlight w:val="none"/>
          <w:lang w:eastAsia="zh-CN"/>
        </w:rPr>
        <w:t>）</w:t>
      </w:r>
      <w:bookmarkEnd w:id="35"/>
      <w:r>
        <w:rPr>
          <w:rFonts w:hint="eastAsia" w:ascii="楷体" w:hAnsi="楷体" w:eastAsia="楷体" w:cs="楷体"/>
          <w:b w:val="0"/>
          <w:bCs w:val="0"/>
          <w:color w:val="auto"/>
          <w:kern w:val="44"/>
          <w:sz w:val="32"/>
          <w:szCs w:val="32"/>
          <w:highlight w:val="none"/>
          <w:lang w:val="en-US" w:eastAsia="zh-CN"/>
        </w:rPr>
        <w:t>报名方式</w:t>
      </w:r>
    </w:p>
    <w:p w14:paraId="4210A6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highlight w:val="none"/>
          <w:lang w:eastAsia="zh-CN"/>
        </w:rPr>
      </w:pPr>
      <w:bookmarkStart w:id="42" w:name="_Toc24175"/>
      <w:r>
        <w:rPr>
          <w:rFonts w:hint="eastAsia" w:ascii="仿宋" w:hAnsi="仿宋" w:eastAsia="仿宋"/>
          <w:color w:val="auto"/>
          <w:sz w:val="32"/>
          <w:szCs w:val="32"/>
          <w:lang w:val="en-US" w:eastAsia="zh-CN"/>
        </w:rPr>
        <w:t>1.报名时间：</w:t>
      </w: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31</w:t>
      </w:r>
      <w:r>
        <w:rPr>
          <w:rFonts w:hint="eastAsia" w:ascii="仿宋" w:hAnsi="仿宋" w:eastAsia="仿宋" w:cs="仿宋"/>
          <w:b w:val="0"/>
          <w:bCs w:val="0"/>
          <w:color w:val="auto"/>
          <w:sz w:val="32"/>
          <w:szCs w:val="32"/>
          <w:highlight w:val="none"/>
        </w:rPr>
        <w:t>日至</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eastAsia="zh-CN"/>
        </w:rPr>
        <w:t>。</w:t>
      </w:r>
    </w:p>
    <w:p w14:paraId="7319E2DA">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olor w:val="auto"/>
          <w:sz w:val="32"/>
          <w:szCs w:val="32"/>
          <w:lang w:val="en-US" w:eastAsia="zh-CN"/>
        </w:rPr>
        <w:t>2.登录“复旦大学附属肿瘤医院人事招聘系统”（网址：https://hr.shca.org.cn/），按要求填报个人信息。报名时全面、逐项对照招聘岗位要求，确认符合岗位资格条件</w:t>
      </w:r>
      <w:r>
        <w:rPr>
          <w:rFonts w:hint="eastAsia" w:ascii="仿宋" w:hAnsi="仿宋" w:eastAsia="仿宋" w:cs="仿宋"/>
          <w:b w:val="0"/>
          <w:bCs w:val="0"/>
          <w:color w:val="auto"/>
          <w:sz w:val="32"/>
          <w:szCs w:val="32"/>
          <w:highlight w:val="none"/>
        </w:rPr>
        <w:t>。</w:t>
      </w:r>
    </w:p>
    <w:p w14:paraId="47AD4B9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回避情形</w:t>
      </w:r>
      <w:bookmarkEnd w:id="36"/>
      <w:bookmarkEnd w:id="37"/>
      <w:bookmarkEnd w:id="38"/>
      <w:bookmarkEnd w:id="39"/>
      <w:bookmarkEnd w:id="40"/>
      <w:bookmarkEnd w:id="41"/>
      <w:bookmarkEnd w:id="42"/>
    </w:p>
    <w:p w14:paraId="690DB09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事业单位工作人员有下列亲属关系的，不得在同一事业单位聘用具有直接上下级领导关系的管理岗位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不得在其中一方担任领导</w:t>
      </w:r>
      <w:r>
        <w:rPr>
          <w:rFonts w:hint="eastAsia" w:ascii="仿宋" w:hAnsi="仿宋" w:eastAsia="仿宋" w:cs="仿宋"/>
          <w:b w:val="0"/>
          <w:bCs w:val="0"/>
          <w:color w:val="auto"/>
          <w:sz w:val="32"/>
          <w:szCs w:val="32"/>
          <w:highlight w:val="none"/>
          <w:lang w:val="en-US" w:eastAsia="zh-CN"/>
        </w:rPr>
        <w:t>职务</w:t>
      </w:r>
      <w:r>
        <w:rPr>
          <w:rFonts w:hint="eastAsia" w:ascii="仿宋" w:hAnsi="仿宋" w:eastAsia="仿宋" w:cs="仿宋"/>
          <w:b w:val="0"/>
          <w:bCs w:val="0"/>
          <w:color w:val="auto"/>
          <w:sz w:val="32"/>
          <w:szCs w:val="32"/>
          <w:highlight w:val="none"/>
        </w:rPr>
        <w:t>的事业单位聘用从事组织</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人事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、纪检监察、审计、财务工作的岗位，也不得聘用双方直接隶属于同一领导</w:t>
      </w:r>
      <w:r>
        <w:rPr>
          <w:rFonts w:hint="eastAsia" w:ascii="仿宋" w:hAnsi="仿宋" w:eastAsia="仿宋" w:cs="仿宋"/>
          <w:b w:val="0"/>
          <w:bCs w:val="0"/>
          <w:color w:val="auto"/>
          <w:sz w:val="32"/>
          <w:szCs w:val="32"/>
          <w:highlight w:val="none"/>
          <w:lang w:val="en-US" w:eastAsia="zh-CN"/>
        </w:rPr>
        <w:t>干部</w:t>
      </w:r>
      <w:r>
        <w:rPr>
          <w:rFonts w:hint="eastAsia" w:ascii="仿宋" w:hAnsi="仿宋" w:eastAsia="仿宋" w:cs="仿宋"/>
          <w:b w:val="0"/>
          <w:bCs w:val="0"/>
          <w:color w:val="auto"/>
          <w:sz w:val="32"/>
          <w:szCs w:val="32"/>
          <w:highlight w:val="none"/>
        </w:rPr>
        <w:t>的从事组织</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人事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、纪检监察、审计、财务工作的内设机构正职岗位</w:t>
      </w:r>
      <w:r>
        <w:rPr>
          <w:rFonts w:hint="eastAsia" w:ascii="仿宋" w:hAnsi="仿宋" w:eastAsia="仿宋" w:cs="仿宋"/>
          <w:b w:val="0"/>
          <w:bCs w:val="0"/>
          <w:color w:val="auto"/>
          <w:sz w:val="32"/>
          <w:szCs w:val="32"/>
          <w:highlight w:val="none"/>
          <w:lang w:eastAsia="zh-CN"/>
        </w:rPr>
        <w:t>：</w:t>
      </w:r>
    </w:p>
    <w:p w14:paraId="3F9C4D3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1.夫妻关系；</w:t>
      </w:r>
    </w:p>
    <w:p w14:paraId="2C8C63C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2.直系血亲关系，包括祖父母、外祖父母、父母、子女、孙子女、外孙子女；</w:t>
      </w:r>
    </w:p>
    <w:p w14:paraId="212B808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3.三代以内旁系血亲关系，包括叔伯姑舅姨、兄弟姐妹、堂兄弟姐妹、表兄弟姐妹、侄子女、甥子女；</w:t>
      </w:r>
    </w:p>
    <w:p w14:paraId="3B2D883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4.近姻亲关系，包括配偶的父母、配偶的兄弟姐妹及其配偶、子女的配偶及子女配偶的父母、三代以内旁系血亲的配偶；</w:t>
      </w:r>
    </w:p>
    <w:p w14:paraId="764E3BF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5.其他亲属关系，包括养父母子女、形成抚养关系的继父母子女</w:t>
      </w:r>
      <w:r>
        <w:rPr>
          <w:rFonts w:hint="eastAsia" w:ascii="仿宋" w:hAnsi="仿宋" w:eastAsia="仿宋" w:cs="仿宋"/>
          <w:b w:val="0"/>
          <w:bCs w:val="0"/>
          <w:color w:val="auto"/>
          <w:sz w:val="32"/>
          <w:szCs w:val="32"/>
          <w:highlight w:val="none"/>
          <w:lang w:val="en-US" w:eastAsia="zh-CN"/>
        </w:rPr>
        <w:t>以及</w:t>
      </w:r>
      <w:r>
        <w:rPr>
          <w:rFonts w:hint="eastAsia" w:ascii="仿宋" w:hAnsi="仿宋" w:eastAsia="仿宋" w:cs="仿宋"/>
          <w:b w:val="0"/>
          <w:bCs w:val="0"/>
          <w:color w:val="auto"/>
          <w:sz w:val="32"/>
          <w:szCs w:val="32"/>
          <w:highlight w:val="none"/>
        </w:rPr>
        <w:t>由此形成的直系血亲、三代以内旁系血亲和近姻亲关系。</w:t>
      </w:r>
    </w:p>
    <w:p w14:paraId="6EFC1AA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所称直接上下级领导关系包括</w:t>
      </w:r>
      <w:r>
        <w:rPr>
          <w:rFonts w:hint="eastAsia" w:ascii="仿宋" w:hAnsi="仿宋" w:eastAsia="仿宋" w:cs="仿宋"/>
          <w:b w:val="0"/>
          <w:bCs w:val="0"/>
          <w:color w:val="auto"/>
          <w:sz w:val="32"/>
          <w:szCs w:val="32"/>
          <w:highlight w:val="none"/>
          <w:lang w:eastAsia="zh-CN"/>
        </w:rPr>
        <w:t>：</w:t>
      </w:r>
    </w:p>
    <w:p w14:paraId="015B752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1.领导班子正职与副职；</w:t>
      </w:r>
    </w:p>
    <w:p w14:paraId="6CC8BF8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2.同一内设机构正职与副职；</w:t>
      </w:r>
    </w:p>
    <w:p w14:paraId="3A26D58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3.上级正职、副职与下级正职；</w:t>
      </w:r>
    </w:p>
    <w:p w14:paraId="00C4AD0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4.单位无内设机构的，其正职、副职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其他管理人员及从事审计、财务工作的专业技术人员；</w:t>
      </w:r>
    </w:p>
    <w:p w14:paraId="07671F1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5.内设机构无下一级单位的，其正职、副职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其他管理人员及从事审计、财务工作的专业技术人员。</w:t>
      </w:r>
      <w:bookmarkStart w:id="43" w:name="_Toc29376"/>
      <w:bookmarkStart w:id="44" w:name="_Toc31418"/>
      <w:bookmarkStart w:id="45" w:name="_Toc6547"/>
      <w:bookmarkStart w:id="46" w:name="_Toc459"/>
      <w:bookmarkStart w:id="47" w:name="_Toc14603"/>
      <w:bookmarkStart w:id="48" w:name="_Toc29283"/>
      <w:bookmarkStart w:id="49" w:name="_Toc20101"/>
      <w:bookmarkStart w:id="50" w:name="_Toc28052"/>
    </w:p>
    <w:p w14:paraId="5C009A2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从事招聘工作的人员存在应当回避情形的，须实行履职回避。</w:t>
      </w:r>
    </w:p>
    <w:bookmarkEnd w:id="43"/>
    <w:bookmarkEnd w:id="44"/>
    <w:bookmarkEnd w:id="45"/>
    <w:bookmarkEnd w:id="46"/>
    <w:bookmarkEnd w:id="47"/>
    <w:bookmarkEnd w:id="48"/>
    <w:bookmarkEnd w:id="49"/>
    <w:bookmarkEnd w:id="50"/>
    <w:p w14:paraId="1E7CAE2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51" w:name="_Toc18301"/>
      <w:bookmarkStart w:id="52" w:name="_Toc26712"/>
      <w:bookmarkStart w:id="53" w:name="_Toc15383"/>
      <w:bookmarkStart w:id="54" w:name="_Toc12038"/>
      <w:bookmarkStart w:id="55" w:name="_Toc19363"/>
      <w:bookmarkStart w:id="56" w:name="_Toc16408"/>
      <w:bookmarkStart w:id="57" w:name="_Toc9644"/>
      <w:bookmarkStart w:id="58" w:name="_Toc16925"/>
      <w:bookmarkStart w:id="59" w:name="_Toc30212"/>
      <w:r>
        <w:rPr>
          <w:rFonts w:hint="eastAsia" w:ascii="黑体" w:hAnsi="黑体" w:eastAsia="黑体" w:cs="黑体"/>
          <w:b w:val="0"/>
          <w:bCs w:val="0"/>
          <w:color w:val="auto"/>
          <w:sz w:val="32"/>
          <w:szCs w:val="32"/>
          <w:highlight w:val="none"/>
        </w:rPr>
        <w:t>四、年龄、资格</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历</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等的计算办法</w:t>
      </w:r>
      <w:bookmarkEnd w:id="51"/>
      <w:bookmarkEnd w:id="52"/>
      <w:bookmarkEnd w:id="53"/>
      <w:bookmarkEnd w:id="54"/>
      <w:bookmarkEnd w:id="55"/>
      <w:bookmarkEnd w:id="56"/>
      <w:bookmarkEnd w:id="57"/>
      <w:bookmarkEnd w:id="58"/>
      <w:bookmarkEnd w:id="59"/>
    </w:p>
    <w:p w14:paraId="2814D80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如无特别说明，相关年限的计算、证书取得时间等，均计算至报名截止当月。</w:t>
      </w:r>
    </w:p>
    <w:p w14:paraId="22A71C4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60" w:name="_Toc29373"/>
      <w:bookmarkStart w:id="61" w:name="_Toc29192"/>
      <w:bookmarkStart w:id="62" w:name="_Toc25286"/>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年龄</w:t>
      </w:r>
      <w:bookmarkEnd w:id="60"/>
      <w:bookmarkEnd w:id="61"/>
      <w:bookmarkEnd w:id="62"/>
    </w:p>
    <w:p w14:paraId="74CE9B4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p>
    <w:p w14:paraId="1F241DA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最高年龄要求35周岁是指18周岁以上、35周岁以下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在198</w:t>
      </w:r>
      <w:r>
        <w:rPr>
          <w:rFonts w:hint="eastAsia" w:ascii="仿宋" w:hAnsi="仿宋" w:eastAsia="仿宋" w:cs="仿宋"/>
          <w:b w:val="0"/>
          <w:bCs w:val="0"/>
          <w:color w:val="auto"/>
          <w:sz w:val="32"/>
          <w:szCs w:val="32"/>
          <w:highlight w:val="none"/>
          <w:lang w:val="en-US" w:eastAsia="zh-CN"/>
        </w:rPr>
        <w:t>9</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月至200</w:t>
      </w:r>
      <w:r>
        <w:rPr>
          <w:rFonts w:hint="eastAsia" w:ascii="仿宋" w:hAnsi="仿宋" w:eastAsia="仿宋" w:cs="仿宋"/>
          <w:b w:val="0"/>
          <w:bCs w:val="0"/>
          <w:color w:val="auto"/>
          <w:sz w:val="32"/>
          <w:szCs w:val="32"/>
          <w:highlight w:val="none"/>
          <w:lang w:val="en-US" w:eastAsia="zh-CN"/>
        </w:rPr>
        <w:t>7</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月期间出生</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其他最高年龄要求的计算方法以此类推。</w:t>
      </w:r>
    </w:p>
    <w:p w14:paraId="397EE8C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63" w:name="_Toc27137"/>
      <w:bookmarkStart w:id="64" w:name="_Toc13617"/>
      <w:bookmarkStart w:id="65" w:name="_Toc29952"/>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资格</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历</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等</w:t>
      </w:r>
      <w:bookmarkEnd w:id="63"/>
      <w:bookmarkEnd w:id="64"/>
      <w:bookmarkEnd w:id="65"/>
    </w:p>
    <w:p w14:paraId="70B67A2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招聘</w:t>
      </w:r>
      <w:r>
        <w:rPr>
          <w:rFonts w:hint="eastAsia" w:ascii="仿宋" w:hAnsi="仿宋" w:eastAsia="仿宋" w:cs="仿宋"/>
          <w:b w:val="0"/>
          <w:bCs w:val="0"/>
          <w:color w:val="auto"/>
          <w:sz w:val="32"/>
          <w:szCs w:val="32"/>
          <w:highlight w:val="none"/>
        </w:rPr>
        <w:t>岗位要求具有</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XX条件以上</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的，如无特别说明，是指具有XX条件或XX条件以上所有条件中任何一个即可。如</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具有2年以上工作经验，是指报名截止当月具有2年或2年以上工作经验；取得初级以上专业技术职务任职资格</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是指取得初级、中级或高级专业技术职务任职资格中的任何一项或其中两项或三项均可。</w:t>
      </w:r>
    </w:p>
    <w:p w14:paraId="674CE48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66" w:name="_Toc14196"/>
      <w:bookmarkStart w:id="67" w:name="_Toc20934"/>
      <w:bookmarkStart w:id="68" w:name="_Toc3023"/>
      <w:bookmarkStart w:id="69" w:name="_Toc21060"/>
      <w:bookmarkStart w:id="70" w:name="_Toc1966"/>
      <w:bookmarkStart w:id="71" w:name="_Toc3272"/>
      <w:bookmarkStart w:id="72" w:name="_Toc8761"/>
      <w:bookmarkStart w:id="73" w:name="_Toc30031"/>
      <w:bookmarkStart w:id="74" w:name="_Toc13623"/>
      <w:r>
        <w:rPr>
          <w:rFonts w:hint="eastAsia" w:ascii="黑体" w:hAnsi="黑体" w:eastAsia="黑体" w:cs="黑体"/>
          <w:b w:val="0"/>
          <w:bCs w:val="0"/>
          <w:color w:val="auto"/>
          <w:sz w:val="32"/>
          <w:szCs w:val="32"/>
          <w:highlight w:val="none"/>
        </w:rPr>
        <w:t>五、学历</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位</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认定</w:t>
      </w:r>
      <w:bookmarkEnd w:id="66"/>
      <w:bookmarkEnd w:id="67"/>
      <w:bookmarkEnd w:id="68"/>
      <w:bookmarkEnd w:id="69"/>
      <w:bookmarkEnd w:id="70"/>
      <w:bookmarkEnd w:id="71"/>
      <w:bookmarkEnd w:id="72"/>
      <w:bookmarkEnd w:id="73"/>
      <w:bookmarkEnd w:id="74"/>
    </w:p>
    <w:p w14:paraId="5FDB34D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bookmarkStart w:id="75" w:name="_Toc1390"/>
      <w:bookmarkStart w:id="76" w:name="_Toc31141"/>
      <w:bookmarkStart w:id="77" w:name="_Toc15934"/>
      <w:bookmarkStart w:id="78" w:name="_Toc15609"/>
      <w:bookmarkStart w:id="79" w:name="_Toc22144"/>
      <w:bookmarkStart w:id="80" w:name="_Toc21436"/>
      <w:bookmarkStart w:id="81" w:name="_Toc26083"/>
      <w:bookmarkStart w:id="82" w:name="_Toc15768"/>
      <w:bookmarkStart w:id="83" w:name="_Toc18537"/>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境内学历</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位</w:t>
      </w:r>
      <w:bookmarkEnd w:id="75"/>
      <w:bookmarkEnd w:id="76"/>
      <w:bookmarkEnd w:id="77"/>
      <w:bookmarkEnd w:id="78"/>
      <w:bookmarkEnd w:id="79"/>
      <w:bookmarkEnd w:id="80"/>
      <w:bookmarkEnd w:id="81"/>
      <w:bookmarkEnd w:id="82"/>
      <w:bookmarkEnd w:id="83"/>
      <w:r>
        <w:rPr>
          <w:rFonts w:hint="eastAsia" w:ascii="楷体" w:hAnsi="楷体" w:eastAsia="楷体" w:cs="楷体"/>
          <w:b w:val="0"/>
          <w:bCs w:val="0"/>
          <w:color w:val="auto"/>
          <w:sz w:val="32"/>
          <w:szCs w:val="32"/>
          <w:highlight w:val="none"/>
          <w:lang w:eastAsia="zh-CN"/>
        </w:rPr>
        <w:t>）</w:t>
      </w:r>
    </w:p>
    <w:p w14:paraId="0E98644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用于报考的学历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含自学考试、成人教育、网络教育、夜大、电大等</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及符合报考专业要求的学位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应在中国高等教育学生信息网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简称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学信网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，http</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//www.chsi.com.cn/</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上可查询认证；以辅修专业报考的，应同时取得国家承认的列入国民教育序列学历毕业证书，且辅修专业相应信息可在</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学信网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上查询。</w:t>
      </w:r>
    </w:p>
    <w:p w14:paraId="350ACA1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bookmarkStart w:id="84" w:name="_Toc26637"/>
      <w:bookmarkStart w:id="85" w:name="_Toc16410"/>
      <w:bookmarkStart w:id="86" w:name="_Toc25344"/>
      <w:bookmarkStart w:id="87" w:name="_Toc21019"/>
      <w:bookmarkStart w:id="88" w:name="_Toc23481"/>
      <w:bookmarkStart w:id="89" w:name="_Toc2494"/>
      <w:bookmarkStart w:id="90" w:name="_Toc19890"/>
      <w:bookmarkStart w:id="91" w:name="_Toc19903"/>
      <w:bookmarkStart w:id="92" w:name="_Toc19107"/>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bookmarkEnd w:id="84"/>
      <w:bookmarkEnd w:id="85"/>
      <w:bookmarkEnd w:id="86"/>
      <w:bookmarkEnd w:id="87"/>
      <w:bookmarkEnd w:id="88"/>
      <w:bookmarkEnd w:id="89"/>
      <w:bookmarkEnd w:id="90"/>
      <w:bookmarkEnd w:id="91"/>
      <w:r>
        <w:rPr>
          <w:rFonts w:hint="eastAsia" w:ascii="楷体" w:hAnsi="楷体" w:eastAsia="楷体" w:cs="楷体"/>
          <w:b w:val="0"/>
          <w:bCs w:val="0"/>
          <w:color w:val="auto"/>
          <w:sz w:val="32"/>
          <w:szCs w:val="32"/>
          <w:highlight w:val="none"/>
          <w:lang w:eastAsia="zh-CN"/>
        </w:rPr>
        <w:t>）境外</w:t>
      </w:r>
      <w:r>
        <w:rPr>
          <w:rFonts w:hint="eastAsia" w:ascii="楷体" w:hAnsi="楷体" w:eastAsia="楷体" w:cs="楷体"/>
          <w:b w:val="0"/>
          <w:bCs w:val="0"/>
          <w:color w:val="auto"/>
          <w:sz w:val="32"/>
          <w:szCs w:val="32"/>
          <w:highlight w:val="none"/>
        </w:rPr>
        <w:t>学历</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位</w:t>
      </w:r>
      <w:bookmarkEnd w:id="92"/>
      <w:r>
        <w:rPr>
          <w:rFonts w:hint="eastAsia" w:ascii="楷体" w:hAnsi="楷体" w:eastAsia="楷体" w:cs="楷体"/>
          <w:b w:val="0"/>
          <w:bCs w:val="0"/>
          <w:color w:val="auto"/>
          <w:sz w:val="32"/>
          <w:szCs w:val="32"/>
          <w:highlight w:val="none"/>
          <w:lang w:eastAsia="zh-CN"/>
        </w:rPr>
        <w:t>）</w:t>
      </w:r>
    </w:p>
    <w:p w14:paraId="6D22DDA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持</w:t>
      </w:r>
      <w:r>
        <w:rPr>
          <w:rFonts w:hint="eastAsia" w:ascii="仿宋" w:hAnsi="仿宋" w:eastAsia="仿宋" w:cs="仿宋"/>
          <w:b w:val="0"/>
          <w:bCs w:val="0"/>
          <w:color w:val="auto"/>
          <w:sz w:val="32"/>
          <w:szCs w:val="32"/>
          <w:highlight w:val="none"/>
          <w:lang w:eastAsia="zh-CN"/>
        </w:rPr>
        <w:t>境外</w:t>
      </w:r>
      <w:r>
        <w:rPr>
          <w:rFonts w:hint="eastAsia" w:ascii="仿宋" w:hAnsi="仿宋" w:eastAsia="仿宋" w:cs="仿宋"/>
          <w:b w:val="0"/>
          <w:bCs w:val="0"/>
          <w:color w:val="auto"/>
          <w:sz w:val="32"/>
          <w:szCs w:val="32"/>
          <w:highlight w:val="none"/>
        </w:rPr>
        <w:t>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报考</w:t>
      </w:r>
      <w:r>
        <w:rPr>
          <w:rFonts w:hint="eastAsia" w:ascii="仿宋" w:hAnsi="仿宋" w:eastAsia="仿宋" w:cs="仿宋"/>
          <w:b w:val="0"/>
          <w:bCs w:val="0"/>
          <w:color w:val="auto"/>
          <w:sz w:val="32"/>
          <w:szCs w:val="32"/>
          <w:highlight w:val="none"/>
          <w:lang w:val="en-US" w:eastAsia="zh-CN"/>
        </w:rPr>
        <w:t>或</w:t>
      </w:r>
      <w:r>
        <w:rPr>
          <w:rFonts w:hint="eastAsia" w:ascii="仿宋" w:hAnsi="仿宋" w:eastAsia="仿宋" w:cs="仿宋"/>
          <w:b w:val="0"/>
          <w:bCs w:val="0"/>
          <w:color w:val="auto"/>
          <w:sz w:val="32"/>
          <w:szCs w:val="32"/>
          <w:highlight w:val="none"/>
        </w:rPr>
        <w:t>属于国内院校与</w:t>
      </w:r>
      <w:r>
        <w:rPr>
          <w:rFonts w:hint="eastAsia" w:ascii="仿宋" w:hAnsi="仿宋" w:eastAsia="仿宋" w:cs="仿宋"/>
          <w:b w:val="0"/>
          <w:bCs w:val="0"/>
          <w:color w:val="auto"/>
          <w:sz w:val="32"/>
          <w:szCs w:val="32"/>
          <w:highlight w:val="none"/>
          <w:lang w:eastAsia="zh-CN"/>
        </w:rPr>
        <w:t>境外</w:t>
      </w:r>
      <w:r>
        <w:rPr>
          <w:rFonts w:hint="eastAsia" w:ascii="仿宋" w:hAnsi="仿宋" w:eastAsia="仿宋" w:cs="仿宋"/>
          <w:b w:val="0"/>
          <w:bCs w:val="0"/>
          <w:color w:val="auto"/>
          <w:sz w:val="32"/>
          <w:szCs w:val="32"/>
          <w:highlight w:val="none"/>
        </w:rPr>
        <w:t>院校联合办学取得</w:t>
      </w:r>
      <w:r>
        <w:rPr>
          <w:rFonts w:hint="eastAsia" w:ascii="仿宋" w:hAnsi="仿宋" w:eastAsia="仿宋" w:cs="仿宋"/>
          <w:b w:val="0"/>
          <w:bCs w:val="0"/>
          <w:color w:val="auto"/>
          <w:sz w:val="32"/>
          <w:szCs w:val="32"/>
          <w:highlight w:val="none"/>
          <w:lang w:eastAsia="zh-CN"/>
        </w:rPr>
        <w:t>境外</w:t>
      </w:r>
      <w:r>
        <w:rPr>
          <w:rFonts w:hint="eastAsia" w:ascii="仿宋" w:hAnsi="仿宋" w:eastAsia="仿宋" w:cs="仿宋"/>
          <w:b w:val="0"/>
          <w:bCs w:val="0"/>
          <w:color w:val="auto"/>
          <w:sz w:val="32"/>
          <w:szCs w:val="32"/>
          <w:highlight w:val="none"/>
        </w:rPr>
        <w:t>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应</w:t>
      </w:r>
      <w:r>
        <w:rPr>
          <w:rFonts w:hint="eastAsia" w:ascii="仿宋" w:hAnsi="仿宋" w:eastAsia="仿宋" w:cs="仿宋"/>
          <w:b w:val="0"/>
          <w:bCs w:val="0"/>
          <w:color w:val="auto"/>
          <w:sz w:val="32"/>
          <w:szCs w:val="32"/>
          <w:highlight w:val="none"/>
        </w:rPr>
        <w:t>提供教育部留学服务中心出具的</w:t>
      </w:r>
      <w:r>
        <w:rPr>
          <w:rFonts w:hint="eastAsia" w:ascii="仿宋" w:hAnsi="仿宋" w:eastAsia="仿宋" w:cs="仿宋"/>
          <w:b w:val="0"/>
          <w:bCs w:val="0"/>
          <w:color w:val="auto"/>
          <w:sz w:val="32"/>
          <w:szCs w:val="32"/>
          <w:highlight w:val="none"/>
          <w:lang w:val="en-US" w:eastAsia="zh-CN"/>
        </w:rPr>
        <w:t>有效</w:t>
      </w:r>
      <w:r>
        <w:rPr>
          <w:rFonts w:hint="eastAsia" w:ascii="仿宋" w:hAnsi="仿宋" w:eastAsia="仿宋" w:cs="仿宋"/>
          <w:b w:val="0"/>
          <w:bCs w:val="0"/>
          <w:color w:val="auto"/>
          <w:sz w:val="32"/>
          <w:szCs w:val="32"/>
          <w:highlight w:val="none"/>
        </w:rPr>
        <w:t>证明材料。</w:t>
      </w:r>
    </w:p>
    <w:p w14:paraId="2559462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93" w:name="_Toc32368"/>
      <w:bookmarkStart w:id="94" w:name="_Toc23613"/>
      <w:bookmarkStart w:id="95" w:name="_Toc14163"/>
      <w:bookmarkStart w:id="96" w:name="_Toc10504"/>
      <w:bookmarkStart w:id="97" w:name="_Toc16795"/>
      <w:bookmarkStart w:id="98" w:name="_Toc8453"/>
      <w:bookmarkStart w:id="99" w:name="_Toc30743"/>
      <w:bookmarkStart w:id="100" w:name="_Toc22445"/>
      <w:bookmarkStart w:id="101" w:name="_Toc9893"/>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福建省</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双学位</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双专业</w:t>
      </w:r>
      <w:bookmarkEnd w:id="93"/>
      <w:bookmarkEnd w:id="94"/>
      <w:bookmarkEnd w:id="95"/>
      <w:bookmarkEnd w:id="96"/>
      <w:bookmarkEnd w:id="97"/>
      <w:bookmarkEnd w:id="98"/>
      <w:bookmarkEnd w:id="99"/>
      <w:bookmarkEnd w:id="100"/>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学历</w:t>
      </w:r>
      <w:bookmarkEnd w:id="101"/>
      <w:bookmarkStart w:id="102" w:name="_Toc32514"/>
      <w:bookmarkStart w:id="103" w:name="_Toc8728"/>
      <w:bookmarkStart w:id="104" w:name="_Toc4851"/>
      <w:bookmarkStart w:id="105" w:name="_Toc14540"/>
      <w:bookmarkStart w:id="106" w:name="_Toc16941"/>
      <w:bookmarkStart w:id="107" w:name="_Toc513"/>
      <w:bookmarkStart w:id="108" w:name="_Toc17251"/>
      <w:bookmarkStart w:id="109" w:name="_Toc12030"/>
    </w:p>
    <w:p w14:paraId="32707AD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w:t>
      </w:r>
      <w:r>
        <w:rPr>
          <w:rFonts w:hint="eastAsia" w:ascii="仿宋" w:hAnsi="仿宋" w:eastAsia="仿宋" w:cs="仿宋"/>
          <w:b w:val="0"/>
          <w:bCs w:val="0"/>
          <w:color w:val="auto"/>
          <w:sz w:val="32"/>
          <w:szCs w:val="32"/>
          <w:highlight w:val="none"/>
          <w:lang w:val="en-US" w:eastAsia="zh-CN"/>
        </w:rPr>
        <w:t>省教育厅</w:t>
      </w:r>
      <w:r>
        <w:rPr>
          <w:rFonts w:hint="eastAsia" w:ascii="仿宋" w:hAnsi="仿宋" w:eastAsia="仿宋" w:cs="仿宋"/>
          <w:b w:val="0"/>
          <w:bCs w:val="0"/>
          <w:color w:val="auto"/>
          <w:sz w:val="32"/>
          <w:szCs w:val="32"/>
          <w:highlight w:val="none"/>
        </w:rPr>
        <w:t>《关于在全省高校毕业生中试行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双学位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双专业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教育的意见》</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闽教高〔2009〕9号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，经修读达到毕业条件并获得</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双学位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双专业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证书的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，在本省范围内承认其学历、学位。</w:t>
      </w:r>
    </w:p>
    <w:p w14:paraId="4BC54E1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110" w:name="_Toc6849"/>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提醒事项</w:t>
      </w:r>
      <w:bookmarkEnd w:id="102"/>
      <w:bookmarkEnd w:id="103"/>
      <w:bookmarkEnd w:id="104"/>
      <w:bookmarkEnd w:id="105"/>
      <w:bookmarkEnd w:id="106"/>
      <w:bookmarkEnd w:id="107"/>
      <w:bookmarkEnd w:id="108"/>
      <w:bookmarkEnd w:id="109"/>
      <w:bookmarkEnd w:id="110"/>
    </w:p>
    <w:p w14:paraId="162DDAD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111" w:name="_Toc19635_WPSOffice_Level1"/>
      <w:bookmarkStart w:id="112" w:name="_Toc19084"/>
      <w:bookmarkStart w:id="113" w:name="_Toc6283"/>
      <w:bookmarkStart w:id="114" w:name="_Toc20018"/>
      <w:bookmarkStart w:id="115" w:name="_Toc23500"/>
      <w:bookmarkStart w:id="116" w:name="_Toc28427"/>
      <w:bookmarkStart w:id="117" w:name="_Toc12445"/>
      <w:bookmarkStart w:id="118" w:name="_Toc12784"/>
      <w:bookmarkStart w:id="119" w:name="_Toc25204"/>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面试资格复核时，将对学历、学位情况进行核查，请</w:t>
      </w: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lang w:eastAsia="zh-CN"/>
        </w:rPr>
        <w:t>按</w:t>
      </w:r>
      <w:r>
        <w:rPr>
          <w:rFonts w:hint="eastAsia" w:ascii="仿宋" w:hAnsi="仿宋" w:eastAsia="仿宋" w:cs="仿宋"/>
          <w:b w:val="0"/>
          <w:bCs w:val="0"/>
          <w:color w:val="auto"/>
          <w:sz w:val="32"/>
          <w:szCs w:val="32"/>
          <w:highlight w:val="none"/>
        </w:rPr>
        <w:t>上述要求，提前做好相应认证报告或网上查验准备。</w:t>
      </w:r>
    </w:p>
    <w:p w14:paraId="6E7F07A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2"/>
          <w:sz w:val="32"/>
          <w:szCs w:val="32"/>
          <w:highlight w:val="none"/>
          <w:lang w:val="en-US" w:eastAsia="zh-CN" w:bidi="ar-SA"/>
        </w:rPr>
        <w:t>2.全日制普通教育2025届毕业生和持境外学历（位）考生未取得相应学历（位）的，持学校出具的《就业推荐表》或书面证明报名，且在资格复核时提交或书面承诺，本科及以下学历毕业生须于2025年9月30日前、研究生学历须于2025年12月31日前，提供符合岗位资格条件的学历、学位证书，否则视为自动放弃考试（聘用）资格。</w:t>
      </w:r>
    </w:p>
    <w:bookmarkEnd w:id="111"/>
    <w:p w14:paraId="4AD8E58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120" w:name="_Toc17142"/>
      <w:r>
        <w:rPr>
          <w:rFonts w:hint="eastAsia" w:ascii="黑体" w:hAnsi="黑体" w:eastAsia="黑体" w:cs="黑体"/>
          <w:b w:val="0"/>
          <w:bCs w:val="0"/>
          <w:color w:val="auto"/>
          <w:sz w:val="32"/>
          <w:szCs w:val="32"/>
          <w:highlight w:val="none"/>
        </w:rPr>
        <w:t>六、专业认定</w:t>
      </w:r>
      <w:bookmarkEnd w:id="112"/>
      <w:bookmarkEnd w:id="113"/>
      <w:bookmarkEnd w:id="114"/>
      <w:bookmarkEnd w:id="115"/>
      <w:bookmarkEnd w:id="116"/>
      <w:bookmarkEnd w:id="117"/>
      <w:bookmarkEnd w:id="118"/>
      <w:bookmarkEnd w:id="119"/>
      <w:bookmarkEnd w:id="120"/>
    </w:p>
    <w:p w14:paraId="1938E11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以《福建省机关事业单位招考专业指导目录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以下简称《专业指导目录》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作为</w:t>
      </w:r>
      <w:r>
        <w:rPr>
          <w:rFonts w:hint="eastAsia" w:ascii="仿宋" w:hAnsi="仿宋" w:eastAsia="仿宋" w:cs="仿宋"/>
          <w:b w:val="0"/>
          <w:bCs w:val="0"/>
          <w:color w:val="auto"/>
          <w:sz w:val="32"/>
          <w:szCs w:val="32"/>
          <w:highlight w:val="none"/>
          <w:lang w:val="en-US" w:eastAsia="zh-CN"/>
        </w:rPr>
        <w:t>招聘</w:t>
      </w:r>
      <w:r>
        <w:rPr>
          <w:rFonts w:hint="eastAsia" w:ascii="仿宋" w:hAnsi="仿宋" w:eastAsia="仿宋" w:cs="仿宋"/>
          <w:b w:val="0"/>
          <w:bCs w:val="0"/>
          <w:color w:val="auto"/>
          <w:sz w:val="32"/>
          <w:szCs w:val="32"/>
          <w:highlight w:val="none"/>
        </w:rPr>
        <w:t>岗位专业条件设置</w:t>
      </w:r>
      <w:r>
        <w:rPr>
          <w:rFonts w:hint="eastAsia" w:ascii="仿宋" w:hAnsi="仿宋" w:eastAsia="仿宋" w:cs="仿宋"/>
          <w:b w:val="0"/>
          <w:bCs w:val="0"/>
          <w:color w:val="auto"/>
          <w:sz w:val="32"/>
          <w:szCs w:val="32"/>
          <w:highlight w:val="none"/>
          <w:lang w:val="en-US" w:eastAsia="zh-CN"/>
        </w:rPr>
        <w:t>及</w:t>
      </w:r>
      <w:r>
        <w:rPr>
          <w:rFonts w:hint="eastAsia" w:ascii="仿宋" w:hAnsi="仿宋" w:eastAsia="仿宋" w:cs="仿宋"/>
          <w:b w:val="0"/>
          <w:bCs w:val="0"/>
          <w:color w:val="auto"/>
          <w:sz w:val="32"/>
          <w:szCs w:val="32"/>
          <w:highlight w:val="none"/>
        </w:rPr>
        <w:t>审核的依据</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其他来源的专业指导目录不作为本次报考</w:t>
      </w:r>
      <w:r>
        <w:rPr>
          <w:rFonts w:hint="eastAsia" w:ascii="仿宋" w:hAnsi="仿宋" w:eastAsia="仿宋" w:cs="仿宋"/>
          <w:b w:val="0"/>
          <w:bCs w:val="0"/>
          <w:color w:val="auto"/>
          <w:sz w:val="32"/>
          <w:szCs w:val="32"/>
          <w:highlight w:val="none"/>
          <w:lang w:val="en-US" w:eastAsia="zh-CN"/>
        </w:rPr>
        <w:t>及</w:t>
      </w:r>
      <w:r>
        <w:rPr>
          <w:rFonts w:hint="eastAsia" w:ascii="仿宋" w:hAnsi="仿宋" w:eastAsia="仿宋" w:cs="仿宋"/>
          <w:b w:val="0"/>
          <w:bCs w:val="0"/>
          <w:color w:val="auto"/>
          <w:sz w:val="32"/>
          <w:szCs w:val="32"/>
          <w:highlight w:val="none"/>
        </w:rPr>
        <w:t>审核的依据。</w:t>
      </w:r>
    </w:p>
    <w:p w14:paraId="27F76DA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121" w:name="_Toc20957"/>
      <w:bookmarkStart w:id="122" w:name="_Toc17684"/>
      <w:bookmarkStart w:id="123" w:name="_Toc30427"/>
      <w:bookmarkStart w:id="124" w:name="_Toc9707"/>
      <w:bookmarkStart w:id="125" w:name="_Toc12880"/>
      <w:bookmarkStart w:id="126" w:name="_Toc10798"/>
      <w:bookmarkStart w:id="127" w:name="_Toc5122"/>
      <w:bookmarkStart w:id="128" w:name="_Toc10067"/>
      <w:bookmarkStart w:id="129" w:name="_Toc23238"/>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填报专业名称</w:t>
      </w:r>
      <w:bookmarkEnd w:id="121"/>
      <w:bookmarkEnd w:id="122"/>
      <w:bookmarkEnd w:id="123"/>
      <w:bookmarkEnd w:id="124"/>
      <w:bookmarkEnd w:id="125"/>
      <w:bookmarkEnd w:id="126"/>
      <w:bookmarkEnd w:id="127"/>
      <w:bookmarkEnd w:id="128"/>
      <w:bookmarkEnd w:id="129"/>
    </w:p>
    <w:p w14:paraId="1507627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130" w:name="_Toc18233"/>
      <w:bookmarkStart w:id="131" w:name="_Toc2160"/>
      <w:bookmarkStart w:id="132" w:name="_Toc26297"/>
      <w:bookmarkStart w:id="133" w:name="_Toc26794"/>
      <w:bookmarkStart w:id="134" w:name="_Toc28824"/>
      <w:bookmarkStart w:id="135" w:name="_Toc8254"/>
      <w:bookmarkStart w:id="136" w:name="_Toc11746"/>
      <w:bookmarkStart w:id="137" w:name="_Toc13974"/>
      <w:bookmarkStart w:id="138" w:name="_Toc28346"/>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严格</w:t>
      </w:r>
      <w:r>
        <w:rPr>
          <w:rFonts w:hint="eastAsia" w:ascii="仿宋" w:hAnsi="仿宋" w:eastAsia="仿宋" w:cs="仿宋"/>
          <w:b w:val="0"/>
          <w:bCs w:val="0"/>
          <w:color w:val="auto"/>
          <w:sz w:val="32"/>
          <w:szCs w:val="32"/>
          <w:highlight w:val="none"/>
          <w:lang w:eastAsia="zh-CN"/>
        </w:rPr>
        <w:t>按</w:t>
      </w:r>
      <w:r>
        <w:rPr>
          <w:rFonts w:hint="eastAsia" w:ascii="仿宋" w:hAnsi="仿宋" w:eastAsia="仿宋" w:cs="仿宋"/>
          <w:b w:val="0"/>
          <w:bCs w:val="0"/>
          <w:color w:val="auto"/>
          <w:sz w:val="32"/>
          <w:szCs w:val="32"/>
          <w:highlight w:val="none"/>
        </w:rPr>
        <w:t>所持证书</w:t>
      </w:r>
      <w:r>
        <w:rPr>
          <w:rFonts w:hint="eastAsia" w:ascii="仿宋" w:hAnsi="仿宋" w:eastAsia="仿宋" w:cs="仿宋"/>
          <w:b w:val="0"/>
          <w:bCs w:val="0"/>
          <w:color w:val="auto"/>
          <w:sz w:val="32"/>
          <w:szCs w:val="32"/>
          <w:highlight w:val="none"/>
          <w:lang w:val="en-US" w:eastAsia="zh-CN"/>
        </w:rPr>
        <w:t>或</w:t>
      </w:r>
      <w:r>
        <w:rPr>
          <w:rFonts w:hint="eastAsia" w:ascii="仿宋" w:hAnsi="仿宋" w:eastAsia="仿宋" w:cs="仿宋"/>
          <w:b w:val="0"/>
          <w:bCs w:val="0"/>
          <w:color w:val="auto"/>
          <w:sz w:val="32"/>
          <w:szCs w:val="32"/>
          <w:highlight w:val="none"/>
        </w:rPr>
        <w:t>认证报告</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只字不差、如实填写所学专业。其中，全日制普通教育学历所学专业以毕业证书为准，非全日制普通教育和境外学历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以教育部学历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认证部门出具的认证报告为准。</w:t>
      </w:r>
    </w:p>
    <w:p w14:paraId="109249F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专业与学历</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位</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的对应关系</w:t>
      </w:r>
      <w:bookmarkEnd w:id="130"/>
      <w:bookmarkEnd w:id="131"/>
      <w:bookmarkEnd w:id="132"/>
      <w:bookmarkEnd w:id="133"/>
      <w:bookmarkEnd w:id="134"/>
      <w:bookmarkEnd w:id="135"/>
      <w:bookmarkEnd w:id="136"/>
      <w:bookmarkEnd w:id="137"/>
      <w:bookmarkEnd w:id="138"/>
    </w:p>
    <w:p w14:paraId="59BFE6A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毕业证书的专业与</w:t>
      </w:r>
      <w:r>
        <w:rPr>
          <w:rFonts w:hint="eastAsia" w:ascii="仿宋" w:hAnsi="仿宋" w:eastAsia="仿宋" w:cs="仿宋"/>
          <w:b w:val="0"/>
          <w:bCs w:val="0"/>
          <w:color w:val="auto"/>
          <w:sz w:val="32"/>
          <w:szCs w:val="32"/>
          <w:highlight w:val="none"/>
          <w:lang w:val="en-US" w:eastAsia="zh-CN"/>
        </w:rPr>
        <w:t>招聘</w:t>
      </w:r>
      <w:r>
        <w:rPr>
          <w:rFonts w:hint="eastAsia" w:ascii="仿宋" w:hAnsi="仿宋" w:eastAsia="仿宋" w:cs="仿宋"/>
          <w:b w:val="0"/>
          <w:bCs w:val="0"/>
          <w:color w:val="auto"/>
          <w:sz w:val="32"/>
          <w:szCs w:val="32"/>
          <w:highlight w:val="none"/>
        </w:rPr>
        <w:t>岗位要求的专业条件应当一致，</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可使用本人已获得的任意学历及其对应专业进行报考，如具有研究生学历的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可使用本科学历及其对应的专业报考，</w:t>
      </w:r>
      <w:r>
        <w:rPr>
          <w:rFonts w:hint="eastAsia" w:ascii="仿宋" w:hAnsi="仿宋" w:eastAsia="仿宋" w:cs="仿宋"/>
          <w:b w:val="0"/>
          <w:bCs w:val="0"/>
          <w:color w:val="auto"/>
          <w:sz w:val="32"/>
          <w:szCs w:val="32"/>
          <w:highlight w:val="none"/>
          <w:lang w:val="en-US" w:eastAsia="zh-CN"/>
        </w:rPr>
        <w:t>但</w:t>
      </w:r>
      <w:r>
        <w:rPr>
          <w:rFonts w:hint="eastAsia" w:ascii="仿宋" w:hAnsi="仿宋" w:eastAsia="仿宋" w:cs="仿宋"/>
          <w:b w:val="0"/>
          <w:bCs w:val="0"/>
          <w:color w:val="auto"/>
          <w:sz w:val="32"/>
          <w:szCs w:val="32"/>
          <w:highlight w:val="none"/>
        </w:rPr>
        <w:t>所用专业对应的学历不得低于</w:t>
      </w:r>
      <w:r>
        <w:rPr>
          <w:rFonts w:hint="eastAsia" w:ascii="仿宋" w:hAnsi="仿宋" w:eastAsia="仿宋" w:cs="仿宋"/>
          <w:b w:val="0"/>
          <w:bCs w:val="0"/>
          <w:color w:val="auto"/>
          <w:sz w:val="32"/>
          <w:szCs w:val="32"/>
          <w:highlight w:val="none"/>
          <w:lang w:val="en-US" w:eastAsia="zh-CN"/>
        </w:rPr>
        <w:t>报考</w:t>
      </w:r>
      <w:r>
        <w:rPr>
          <w:rFonts w:hint="eastAsia" w:ascii="仿宋" w:hAnsi="仿宋" w:eastAsia="仿宋" w:cs="仿宋"/>
          <w:b w:val="0"/>
          <w:bCs w:val="0"/>
          <w:color w:val="auto"/>
          <w:sz w:val="32"/>
          <w:szCs w:val="32"/>
          <w:highlight w:val="none"/>
        </w:rPr>
        <w:t>岗位设置的学历条件要求。</w:t>
      </w:r>
    </w:p>
    <w:p w14:paraId="2311B89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139" w:name="_Toc5408"/>
      <w:bookmarkStart w:id="140" w:name="_Toc5876"/>
      <w:bookmarkStart w:id="141" w:name="_Toc29175"/>
      <w:bookmarkStart w:id="142" w:name="_Toc6351"/>
      <w:bookmarkStart w:id="143" w:name="_Toc11369"/>
      <w:bookmarkStart w:id="144" w:name="_Toc9196"/>
      <w:bookmarkStart w:id="145" w:name="_Toc21515"/>
      <w:bookmarkStart w:id="146" w:name="_Toc20923"/>
      <w:bookmarkStart w:id="147" w:name="_Toc22335"/>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专业资格的认定</w:t>
      </w:r>
      <w:bookmarkEnd w:id="139"/>
      <w:bookmarkEnd w:id="140"/>
      <w:bookmarkEnd w:id="141"/>
      <w:bookmarkEnd w:id="142"/>
      <w:bookmarkEnd w:id="143"/>
      <w:bookmarkEnd w:id="144"/>
      <w:bookmarkEnd w:id="145"/>
      <w:bookmarkEnd w:id="146"/>
      <w:bookmarkEnd w:id="147"/>
    </w:p>
    <w:p w14:paraId="0184D4B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1.专业条件为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××类</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的岗位，</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所学专业须符合《专业指导目录》中</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××类</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所列专业，专业条件为具体专业名称的，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所学专业须符合所列专业。</w:t>
      </w:r>
    </w:p>
    <w:p w14:paraId="173768B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专业条件要求</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临床医学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专业的，含</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临床医学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或</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临床医学硕士</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或</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临床医学博士</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专业，以此类推。</w:t>
      </w:r>
    </w:p>
    <w:p w14:paraId="2314751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2.岗位资格条件要求</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专业方向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需提供主干课程成绩表、论文发表情况、学校证明等有效凭证</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下同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p>
    <w:p w14:paraId="7670B01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z w:val="32"/>
          <w:szCs w:val="32"/>
          <w:highlight w:val="none"/>
          <w:lang w:val="en-US" w:eastAsia="zh-CN"/>
        </w:rPr>
        <w:t>如</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所学专业</w:t>
      </w:r>
      <w:r>
        <w:rPr>
          <w:rFonts w:hint="eastAsia" w:ascii="仿宋" w:hAnsi="仿宋" w:eastAsia="仿宋" w:cs="仿宋"/>
          <w:b w:val="0"/>
          <w:bCs w:val="0"/>
          <w:color w:val="auto"/>
          <w:sz w:val="32"/>
          <w:szCs w:val="32"/>
          <w:highlight w:val="none"/>
          <w:lang w:val="en-US" w:eastAsia="zh-CN"/>
        </w:rPr>
        <w:t>未列入</w:t>
      </w:r>
      <w:r>
        <w:rPr>
          <w:rFonts w:hint="eastAsia" w:ascii="仿宋" w:hAnsi="仿宋" w:eastAsia="仿宋" w:cs="仿宋"/>
          <w:b w:val="0"/>
          <w:bCs w:val="0"/>
          <w:color w:val="auto"/>
          <w:sz w:val="32"/>
          <w:szCs w:val="32"/>
          <w:highlight w:val="none"/>
        </w:rPr>
        <w:t>《专业指导目录》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但与报考岗位所需专业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相近、相似</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可</w:t>
      </w:r>
      <w:r>
        <w:rPr>
          <w:rFonts w:hint="eastAsia" w:ascii="仿宋" w:hAnsi="仿宋" w:eastAsia="仿宋" w:cs="仿宋"/>
          <w:b w:val="0"/>
          <w:bCs w:val="0"/>
          <w:color w:val="auto"/>
          <w:sz w:val="32"/>
          <w:szCs w:val="32"/>
          <w:highlight w:val="none"/>
        </w:rPr>
        <w:t>参照上述佐证</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专业方向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提供的有效凭证。</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所学专业只字不差体现在《专业指导目录》中，但未列入招聘岗位所需专业，不得报考该岗位。</w:t>
      </w:r>
    </w:p>
    <w:p w14:paraId="2606CC6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148" w:name="_Toc10277"/>
      <w:bookmarkStart w:id="149" w:name="_Toc2928"/>
      <w:bookmarkStart w:id="150" w:name="_Toc19746"/>
      <w:bookmarkStart w:id="151" w:name="_Toc10327"/>
      <w:bookmarkStart w:id="152" w:name="_Toc26125"/>
      <w:bookmarkStart w:id="153" w:name="_Toc5985"/>
      <w:bookmarkStart w:id="154" w:name="_Toc6797"/>
      <w:bookmarkStart w:id="155" w:name="_Toc30515"/>
      <w:bookmarkStart w:id="156" w:name="_Toc7490"/>
      <w:r>
        <w:rPr>
          <w:rFonts w:hint="eastAsia" w:ascii="黑体" w:hAnsi="黑体" w:eastAsia="黑体" w:cs="黑体"/>
          <w:b w:val="0"/>
          <w:bCs w:val="0"/>
          <w:color w:val="auto"/>
          <w:sz w:val="32"/>
          <w:szCs w:val="32"/>
          <w:highlight w:val="none"/>
        </w:rPr>
        <w:t>七、工作</w:t>
      </w:r>
      <w:bookmarkEnd w:id="148"/>
      <w:bookmarkEnd w:id="149"/>
      <w:bookmarkEnd w:id="150"/>
      <w:bookmarkEnd w:id="151"/>
      <w:bookmarkEnd w:id="152"/>
      <w:bookmarkEnd w:id="153"/>
      <w:r>
        <w:rPr>
          <w:rFonts w:hint="eastAsia" w:ascii="黑体" w:hAnsi="黑体" w:eastAsia="黑体" w:cs="黑体"/>
          <w:b w:val="0"/>
          <w:bCs w:val="0"/>
          <w:color w:val="auto"/>
          <w:sz w:val="32"/>
          <w:szCs w:val="32"/>
          <w:highlight w:val="none"/>
          <w:lang w:val="en-US" w:eastAsia="zh-CN"/>
        </w:rPr>
        <w:t>经验</w:t>
      </w:r>
      <w:r>
        <w:rPr>
          <w:rFonts w:hint="eastAsia" w:ascii="黑体" w:hAnsi="黑体" w:eastAsia="黑体" w:cs="黑体"/>
          <w:b w:val="0"/>
          <w:bCs w:val="0"/>
          <w:color w:val="auto"/>
          <w:sz w:val="32"/>
          <w:szCs w:val="32"/>
          <w:highlight w:val="none"/>
        </w:rPr>
        <w:t>认定</w:t>
      </w:r>
      <w:bookmarkEnd w:id="154"/>
      <w:bookmarkEnd w:id="155"/>
      <w:bookmarkEnd w:id="156"/>
    </w:p>
    <w:p w14:paraId="45D418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bookmarkStart w:id="157" w:name="_Toc724"/>
      <w:r>
        <w:rPr>
          <w:rFonts w:hint="eastAsia" w:ascii="仿宋" w:hAnsi="仿宋" w:eastAsia="仿宋" w:cs="仿宋"/>
          <w:b w:val="0"/>
          <w:bCs w:val="0"/>
          <w:color w:val="auto"/>
          <w:sz w:val="32"/>
          <w:szCs w:val="32"/>
          <w:highlight w:val="none"/>
          <w:lang w:val="en-US" w:eastAsia="zh-CN"/>
        </w:rPr>
        <w:t>岗位资格条件要求“专业工作经验”的，考生提供养老保险缴费记录或工资发放等有效凭证、聘用（劳动）合同和所在单位出具符合岗位资格条件要求的相关岗位工作证明。有多个单位的，工作证明可分别开具，年限可累计。</w:t>
      </w:r>
    </w:p>
    <w:p w14:paraId="3FA119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全日制普通教育毕业生参加人社部门核定的职业见习，若从事工作与招聘岗位要求的专业工作经验相关，其毕业后的职业见习年限可视同工作经验年限。全日制普通教育期间的社会实践经历，不视为工作经验。</w:t>
      </w:r>
    </w:p>
    <w:p w14:paraId="30B94A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val="0"/>
          <w:color w:val="auto"/>
          <w:sz w:val="32"/>
          <w:szCs w:val="32"/>
          <w:highlight w:val="none"/>
        </w:rPr>
        <w:t>考试</w:t>
      </w:r>
      <w:bookmarkEnd w:id="157"/>
    </w:p>
    <w:p w14:paraId="274D2A2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在报名截止后将组织专家团队进行资格条件审核</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具体</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形式、时间、地点等信息将通过电话</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短信</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电子邮件等渠道发布，请考生确认所留联系方式准确无误并保持畅通。未收到通知的考生，将不再另行通知。</w:t>
      </w:r>
    </w:p>
    <w:p w14:paraId="03C38CB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笔试</w:t>
      </w:r>
    </w:p>
    <w:p w14:paraId="0090FCC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1.笔试采取闭卷方式进行，卷面为100分，内容为岗位相关知识。</w:t>
      </w:r>
    </w:p>
    <w:p w14:paraId="67E5165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.笔试成绩=笔试卷面分+各项加分，合格线为60分。</w:t>
      </w:r>
    </w:p>
    <w:p w14:paraId="7AA4877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.笔试加分原则</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加分</w:t>
      </w:r>
      <w:r>
        <w:rPr>
          <w:rFonts w:hint="eastAsia" w:ascii="仿宋" w:hAnsi="仿宋" w:eastAsia="仿宋" w:cs="仿宋"/>
          <w:b w:val="0"/>
          <w:bCs w:val="0"/>
          <w:color w:val="auto"/>
          <w:sz w:val="32"/>
          <w:szCs w:val="32"/>
          <w:highlight w:val="none"/>
        </w:rPr>
        <w:t>仅限笔试卷面分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不受笔试满分限制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各项加分可累计，但最高不超过</w:t>
      </w: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曾通过享受政策待遇被录（聘）为公务员或事业单位编内工作人员的，不再享受相应项目的加分。</w:t>
      </w:r>
    </w:p>
    <w:p w14:paraId="03ABEA9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报名资格审核通过并符合以下加分政策的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可享受笔试加分待遇</w:t>
      </w:r>
      <w:r>
        <w:rPr>
          <w:rFonts w:hint="eastAsia" w:ascii="仿宋" w:hAnsi="仿宋" w:eastAsia="仿宋" w:cs="仿宋"/>
          <w:b w:val="0"/>
          <w:bCs w:val="0"/>
          <w:color w:val="auto"/>
          <w:sz w:val="32"/>
          <w:szCs w:val="32"/>
          <w:highlight w:val="none"/>
          <w:lang w:eastAsia="zh-CN"/>
        </w:rPr>
        <w:t>：</w:t>
      </w:r>
    </w:p>
    <w:p w14:paraId="362CE8D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服务基层项目高校毕业人员</w:t>
      </w:r>
    </w:p>
    <w:p w14:paraId="061586C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参加国家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福建省组织实施的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三支一扶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计划、志愿服务欠发达地区计划、志愿服务西部计划</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含</w:t>
      </w:r>
      <w:r>
        <w:rPr>
          <w:rFonts w:hint="eastAsia" w:ascii="仿宋" w:hAnsi="仿宋" w:eastAsia="仿宋" w:cs="仿宋"/>
          <w:b w:val="0"/>
          <w:bCs w:val="0"/>
          <w:color w:val="auto"/>
          <w:sz w:val="32"/>
          <w:szCs w:val="32"/>
          <w:highlight w:val="none"/>
        </w:rPr>
        <w:t>研究生支教团</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、服务社区计划</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乡村振兴计划和</w:t>
      </w:r>
      <w:r>
        <w:rPr>
          <w:rFonts w:hint="eastAsia" w:ascii="仿宋" w:hAnsi="仿宋" w:eastAsia="仿宋" w:cs="仿宋"/>
          <w:b w:val="0"/>
          <w:bCs w:val="0"/>
          <w:color w:val="auto"/>
          <w:sz w:val="32"/>
          <w:szCs w:val="32"/>
          <w:highlight w:val="none"/>
        </w:rPr>
        <w:t>大学生村官</w:t>
      </w:r>
      <w:r>
        <w:rPr>
          <w:rFonts w:hint="eastAsia" w:ascii="仿宋" w:hAnsi="仿宋" w:eastAsia="仿宋" w:cs="仿宋"/>
          <w:b w:val="0"/>
          <w:bCs w:val="0"/>
          <w:color w:val="auto"/>
          <w:sz w:val="32"/>
          <w:szCs w:val="32"/>
          <w:highlight w:val="none"/>
          <w:lang w:val="en-US" w:eastAsia="zh-CN"/>
        </w:rPr>
        <w:t>等</w:t>
      </w:r>
      <w:r>
        <w:rPr>
          <w:rFonts w:hint="eastAsia" w:ascii="仿宋" w:hAnsi="仿宋" w:eastAsia="仿宋" w:cs="仿宋"/>
          <w:b w:val="0"/>
          <w:bCs w:val="0"/>
          <w:color w:val="auto"/>
          <w:sz w:val="32"/>
          <w:szCs w:val="32"/>
          <w:highlight w:val="none"/>
        </w:rPr>
        <w:t>，服务期限为1年及以上且</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报名截止前期满考核合格的福建户籍或福建生源高校毕业人员；服务期限</w:t>
      </w:r>
      <w:r>
        <w:rPr>
          <w:rFonts w:hint="eastAsia" w:ascii="仿宋" w:hAnsi="仿宋" w:eastAsia="仿宋" w:cs="仿宋"/>
          <w:b w:val="0"/>
          <w:bCs w:val="0"/>
          <w:color w:val="auto"/>
          <w:sz w:val="32"/>
          <w:szCs w:val="32"/>
          <w:highlight w:val="none"/>
          <w:lang w:val="en-US" w:eastAsia="zh-CN"/>
        </w:rPr>
        <w:t>为</w:t>
      </w:r>
      <w:r>
        <w:rPr>
          <w:rFonts w:hint="eastAsia" w:ascii="仿宋" w:hAnsi="仿宋" w:eastAsia="仿宋" w:cs="仿宋"/>
          <w:b w:val="0"/>
          <w:bCs w:val="0"/>
          <w:color w:val="auto"/>
          <w:sz w:val="32"/>
          <w:szCs w:val="32"/>
          <w:highlight w:val="none"/>
        </w:rPr>
        <w:t>2年及以上且期满考核合格的服务基层项目毕业</w:t>
      </w:r>
      <w:r>
        <w:rPr>
          <w:rFonts w:hint="eastAsia" w:ascii="仿宋" w:hAnsi="仿宋" w:eastAsia="仿宋" w:cs="仿宋"/>
          <w:b w:val="0"/>
          <w:bCs w:val="0"/>
          <w:color w:val="auto"/>
          <w:sz w:val="32"/>
          <w:szCs w:val="32"/>
          <w:highlight w:val="none"/>
          <w:lang w:val="en-US" w:eastAsia="zh-CN"/>
        </w:rPr>
        <w:t>人员</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可享受</w:t>
      </w:r>
      <w:r>
        <w:rPr>
          <w:rFonts w:hint="eastAsia" w:ascii="仿宋" w:hAnsi="仿宋" w:eastAsia="仿宋" w:cs="仿宋"/>
          <w:b w:val="0"/>
          <w:bCs w:val="0"/>
          <w:color w:val="auto"/>
          <w:sz w:val="32"/>
          <w:szCs w:val="32"/>
          <w:highlight w:val="none"/>
        </w:rPr>
        <w:t>笔试卷面分加3分。</w:t>
      </w:r>
    </w:p>
    <w:p w14:paraId="68FBC15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退役士兵</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含大学生退役士兵</w:t>
      </w:r>
      <w:r>
        <w:rPr>
          <w:rFonts w:hint="eastAsia" w:ascii="仿宋" w:hAnsi="仿宋" w:eastAsia="仿宋" w:cs="仿宋"/>
          <w:b w:val="0"/>
          <w:bCs w:val="0"/>
          <w:color w:val="auto"/>
          <w:sz w:val="32"/>
          <w:szCs w:val="32"/>
          <w:highlight w:val="none"/>
          <w:lang w:eastAsia="zh-CN"/>
        </w:rPr>
        <w:t>）</w:t>
      </w:r>
    </w:p>
    <w:p w14:paraId="32581D4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由福建省兵役机关批准入伍或福建生源的退役士兵</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在福建省外应征入伍，</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报名截止前取得福建户籍的可参照</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，可享受以下笔试卷面分加分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服役满13年以上的加8分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服役满9年至12年的加6分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服役满6年至8年的加4分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服役满3年至5年的加2分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荣立二等功及以上的另加3分/次</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荣立三等功的另加2分/次</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获得优秀士官或优秀士兵或优秀义务兵荣誉称号的另加1分/次</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伤残士兵另加3分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在边防、高原、海岛等艰苦地区或从事飞行、舰艇工作5年及以上的，除享受以上加分外可再加3分；全日制普通教育大专以上学历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在校期间应征入伍且退役后继续完成学业的，毕业后加5分；全日制普通教育大专以上学历</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毕业生应征入伍的，退役后加5分。</w:t>
      </w:r>
    </w:p>
    <w:p w14:paraId="017B4A9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退役优秀运动员</w:t>
      </w:r>
    </w:p>
    <w:p w14:paraId="1C90477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厦门市退役优秀运动员，可享受以下笔试卷面分加分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曾获得世界体育三大比赛</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奥运会、世锦赛、世界杯</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第2至第6名，亚洲体育三大比赛</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亚运会、亚锦赛、亚洲杯</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或全运会第2或第3名，全国锦标赛、全国冠军赛或篮球、排球、足球全国职业联赛第1名的，加9分；曾获得</w:t>
      </w:r>
      <w:r>
        <w:rPr>
          <w:rFonts w:hint="eastAsia" w:ascii="仿宋" w:hAnsi="仿宋" w:eastAsia="仿宋" w:cs="仿宋"/>
          <w:b w:val="0"/>
          <w:bCs w:val="0"/>
          <w:color w:val="auto"/>
          <w:sz w:val="32"/>
          <w:szCs w:val="32"/>
          <w:highlight w:val="none"/>
          <w:lang w:val="en-US" w:eastAsia="zh-CN"/>
        </w:rPr>
        <w:t>福建</w:t>
      </w:r>
      <w:r>
        <w:rPr>
          <w:rFonts w:hint="eastAsia" w:ascii="仿宋" w:hAnsi="仿宋" w:eastAsia="仿宋" w:cs="仿宋"/>
          <w:b w:val="0"/>
          <w:bCs w:val="0"/>
          <w:color w:val="auto"/>
          <w:sz w:val="32"/>
          <w:szCs w:val="32"/>
          <w:highlight w:val="none"/>
        </w:rPr>
        <w:t>省运动会冠军，全国锦标赛、全国冠军赛或篮球、排球、足球全国职业联赛第2或第3名，亚洲体育三大比赛</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亚运会、亚锦赛、亚洲杯</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第4至第6名的，加7分。</w:t>
      </w:r>
    </w:p>
    <w:p w14:paraId="078FE9C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加分证明材料</w:t>
      </w:r>
    </w:p>
    <w:p w14:paraId="3E84535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符合加分政策的</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lang w:val="en-US" w:eastAsia="zh-CN"/>
        </w:rPr>
        <w:t>应</w:t>
      </w:r>
      <w:r>
        <w:rPr>
          <w:rFonts w:hint="eastAsia" w:ascii="仿宋" w:hAnsi="仿宋" w:eastAsia="仿宋" w:cs="仿宋"/>
          <w:b w:val="0"/>
          <w:bCs w:val="0"/>
          <w:color w:val="auto"/>
          <w:sz w:val="32"/>
          <w:szCs w:val="32"/>
          <w:highlight w:val="none"/>
        </w:rPr>
        <w:t>在报名期间向</w:t>
      </w:r>
      <w:r>
        <w:rPr>
          <w:rFonts w:hint="eastAsia" w:ascii="仿宋" w:hAnsi="仿宋" w:eastAsia="仿宋" w:cs="仿宋"/>
          <w:b w:val="0"/>
          <w:bCs w:val="0"/>
          <w:color w:val="auto"/>
          <w:sz w:val="32"/>
          <w:szCs w:val="32"/>
          <w:highlight w:val="none"/>
          <w:lang w:val="en-US" w:eastAsia="zh-CN"/>
        </w:rPr>
        <w:t>我院人力资源部（联系电话0592-6058818</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提交以下资料的原件及复印件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复印件需依序装订成册，一式2份</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，否则视为自动放弃享受加分政策</w:t>
      </w:r>
      <w:r>
        <w:rPr>
          <w:rFonts w:hint="eastAsia" w:ascii="仿宋" w:hAnsi="仿宋" w:eastAsia="仿宋" w:cs="仿宋"/>
          <w:b w:val="0"/>
          <w:bCs w:val="0"/>
          <w:color w:val="auto"/>
          <w:sz w:val="32"/>
          <w:szCs w:val="32"/>
          <w:highlight w:val="none"/>
          <w:lang w:eastAsia="zh-CN"/>
        </w:rPr>
        <w:t>：</w:t>
      </w:r>
    </w:p>
    <w:p w14:paraId="0A23A2F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①基本资料</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本人有效身份证、户口本、学历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证；</w:t>
      </w:r>
    </w:p>
    <w:p w14:paraId="5F19057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②证明资料</w:t>
      </w:r>
    </w:p>
    <w:p w14:paraId="4001185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服务基层项目毕业生需提交组织实施相应项目的机构出具</w:t>
      </w:r>
      <w:r>
        <w:rPr>
          <w:rFonts w:hint="eastAsia" w:ascii="仿宋" w:hAnsi="仿宋" w:eastAsia="仿宋" w:cs="仿宋"/>
          <w:b w:val="0"/>
          <w:bCs w:val="0"/>
          <w:color w:val="auto"/>
          <w:sz w:val="32"/>
          <w:szCs w:val="32"/>
          <w:highlight w:val="none"/>
          <w:lang w:val="en-US" w:eastAsia="zh-CN"/>
        </w:rPr>
        <w:t>服</w:t>
      </w:r>
      <w:r>
        <w:rPr>
          <w:rFonts w:hint="eastAsia" w:ascii="仿宋" w:hAnsi="仿宋" w:eastAsia="仿宋" w:cs="仿宋"/>
          <w:b w:val="0"/>
          <w:bCs w:val="0"/>
          <w:color w:val="auto"/>
          <w:sz w:val="32"/>
          <w:szCs w:val="32"/>
          <w:highlight w:val="none"/>
        </w:rPr>
        <w:t>务基层期满考核合格证书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或服务期满考核合格材料</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及福建户籍或福建生源证明材料。</w:t>
      </w:r>
    </w:p>
    <w:p w14:paraId="42A008D2">
      <w:pPr>
        <w:keepNext w:val="0"/>
        <w:keepLines w:val="0"/>
        <w:pageBreakBefore w:val="0"/>
        <w:kinsoku/>
        <w:wordWrap/>
        <w:overflowPunct/>
        <w:topLinePunct w:val="0"/>
        <w:autoSpaceDE/>
        <w:autoSpaceDN/>
        <w:bidi w:val="0"/>
        <w:spacing w:line="600" w:lineRule="exact"/>
        <w:ind w:left="0" w:leftChars="0" w:right="0" w:rightChars="0" w:firstLine="652"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3"/>
          <w:sz w:val="32"/>
          <w:szCs w:val="32"/>
          <w:highlight w:val="none"/>
        </w:rPr>
        <w:t>符</w:t>
      </w:r>
      <w:r>
        <w:rPr>
          <w:rFonts w:hint="eastAsia" w:ascii="仿宋" w:hAnsi="仿宋" w:eastAsia="仿宋" w:cs="仿宋"/>
          <w:b w:val="0"/>
          <w:bCs w:val="0"/>
          <w:color w:val="auto"/>
          <w:spacing w:val="2"/>
          <w:sz w:val="32"/>
          <w:szCs w:val="32"/>
          <w:highlight w:val="none"/>
        </w:rPr>
        <w:t>合加分政策的退役士兵</w:t>
      </w:r>
      <w:r>
        <w:rPr>
          <w:rFonts w:hint="eastAsia" w:ascii="仿宋" w:hAnsi="仿宋" w:eastAsia="仿宋" w:cs="仿宋"/>
          <w:b w:val="0"/>
          <w:bCs w:val="0"/>
          <w:color w:val="auto"/>
          <w:spacing w:val="2"/>
          <w:sz w:val="32"/>
          <w:szCs w:val="32"/>
          <w:highlight w:val="none"/>
          <w:lang w:eastAsia="zh-CN"/>
        </w:rPr>
        <w:t>（</w:t>
      </w:r>
      <w:r>
        <w:rPr>
          <w:rFonts w:hint="eastAsia" w:ascii="仿宋" w:hAnsi="仿宋" w:eastAsia="仿宋" w:cs="仿宋"/>
          <w:b w:val="0"/>
          <w:bCs w:val="0"/>
          <w:color w:val="auto"/>
          <w:spacing w:val="2"/>
          <w:sz w:val="32"/>
          <w:szCs w:val="32"/>
          <w:highlight w:val="none"/>
        </w:rPr>
        <w:t>含大学生退役士兵</w:t>
      </w:r>
      <w:r>
        <w:rPr>
          <w:rFonts w:hint="eastAsia" w:ascii="仿宋" w:hAnsi="仿宋" w:eastAsia="仿宋" w:cs="仿宋"/>
          <w:b w:val="0"/>
          <w:bCs w:val="0"/>
          <w:color w:val="auto"/>
          <w:spacing w:val="2"/>
          <w:sz w:val="32"/>
          <w:szCs w:val="32"/>
          <w:highlight w:val="none"/>
          <w:lang w:eastAsia="zh-CN"/>
        </w:rPr>
        <w:t>）</w:t>
      </w:r>
      <w:r>
        <w:rPr>
          <w:rFonts w:hint="eastAsia" w:ascii="仿宋" w:hAnsi="仿宋" w:eastAsia="仿宋" w:cs="仿宋"/>
          <w:b w:val="0"/>
          <w:bCs w:val="0"/>
          <w:color w:val="auto"/>
          <w:sz w:val="32"/>
          <w:szCs w:val="32"/>
          <w:highlight w:val="none"/>
        </w:rPr>
        <w:t>安置在厦门市的，可于上班时间持身份证、退伍证前往安置</w:t>
      </w:r>
      <w:r>
        <w:rPr>
          <w:rFonts w:hint="eastAsia" w:ascii="仿宋" w:hAnsi="仿宋" w:eastAsia="仿宋" w:cs="仿宋"/>
          <w:b w:val="0"/>
          <w:bCs w:val="0"/>
          <w:color w:val="auto"/>
          <w:sz w:val="32"/>
          <w:szCs w:val="32"/>
          <w:highlight w:val="none"/>
          <w:lang w:val="en-US" w:eastAsia="zh-CN"/>
        </w:rPr>
        <w:t>所在区</w:t>
      </w:r>
      <w:r>
        <w:rPr>
          <w:rFonts w:hint="eastAsia" w:ascii="仿宋" w:hAnsi="仿宋" w:eastAsia="仿宋" w:cs="仿宋"/>
          <w:b w:val="0"/>
          <w:bCs w:val="0"/>
          <w:color w:val="auto"/>
          <w:sz w:val="32"/>
          <w:szCs w:val="32"/>
          <w:highlight w:val="none"/>
        </w:rPr>
        <w:t>退役军人事务局开具证明；安置在厦门市以外的，可由安置</w:t>
      </w:r>
      <w:r>
        <w:rPr>
          <w:rFonts w:hint="eastAsia" w:ascii="仿宋" w:hAnsi="仿宋" w:eastAsia="仿宋" w:cs="仿宋"/>
          <w:b w:val="0"/>
          <w:bCs w:val="0"/>
          <w:color w:val="auto"/>
          <w:sz w:val="32"/>
          <w:szCs w:val="32"/>
          <w:highlight w:val="none"/>
          <w:lang w:val="en-US" w:eastAsia="zh-CN"/>
        </w:rPr>
        <w:t>所在</w:t>
      </w:r>
      <w:r>
        <w:rPr>
          <w:rFonts w:hint="eastAsia" w:ascii="仿宋" w:hAnsi="仿宋" w:eastAsia="仿宋" w:cs="仿宋"/>
          <w:b w:val="0"/>
          <w:bCs w:val="0"/>
          <w:color w:val="auto"/>
          <w:sz w:val="32"/>
          <w:szCs w:val="32"/>
          <w:highlight w:val="none"/>
        </w:rPr>
        <w:t>县级及以上退役军人事务部门开具证明。此前已由相关部门开具的证明继续有效。</w:t>
      </w:r>
    </w:p>
    <w:p w14:paraId="2545011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符合加分政策的厦门市退役优秀运动员可持相应奖项证书前往厦门市体育局人事处开具证明材料</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联系</w:t>
      </w:r>
      <w:r>
        <w:rPr>
          <w:rFonts w:hint="eastAsia" w:ascii="仿宋" w:hAnsi="仿宋" w:eastAsia="仿宋" w:cs="仿宋"/>
          <w:b w:val="0"/>
          <w:bCs w:val="0"/>
          <w:color w:val="auto"/>
          <w:sz w:val="32"/>
          <w:szCs w:val="32"/>
          <w:highlight w:val="none"/>
        </w:rPr>
        <w:t>电话0592-5339323</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p>
    <w:p w14:paraId="4EAC50E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olor w:val="auto"/>
          <w:sz w:val="32"/>
          <w:szCs w:val="32"/>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面试</w:t>
      </w:r>
      <w:bookmarkStart w:id="158" w:name="_Toc18359_WPSOffice_Level1"/>
      <w:bookmarkStart w:id="159" w:name="_Toc1149"/>
      <w:bookmarkStart w:id="160" w:name="_Toc1601"/>
      <w:bookmarkStart w:id="161" w:name="_Toc3536"/>
      <w:bookmarkStart w:id="162" w:name="_Toc29002"/>
      <w:bookmarkStart w:id="163" w:name="_Toc13970"/>
      <w:bookmarkStart w:id="164" w:name="_Toc25367"/>
      <w:bookmarkStart w:id="165" w:name="_Toc25623"/>
      <w:bookmarkStart w:id="166" w:name="_Toc5722"/>
      <w:bookmarkStart w:id="167" w:name="_Toc7131"/>
    </w:p>
    <w:p w14:paraId="1715464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olor w:val="auto"/>
          <w:sz w:val="32"/>
          <w:szCs w:val="32"/>
        </w:rPr>
        <w:t>制作</w:t>
      </w:r>
      <w:r>
        <w:rPr>
          <w:rFonts w:hint="eastAsia" w:ascii="仿宋" w:hAnsi="仿宋" w:eastAsia="仿宋"/>
          <w:color w:val="auto"/>
          <w:sz w:val="32"/>
          <w:szCs w:val="32"/>
          <w:lang w:val="en-US" w:eastAsia="zh-CN"/>
        </w:rPr>
        <w:t>自我介绍PPT，准备</w:t>
      </w:r>
      <w:r>
        <w:rPr>
          <w:rFonts w:hint="eastAsia" w:ascii="仿宋" w:hAnsi="仿宋" w:eastAsia="仿宋"/>
          <w:color w:val="auto"/>
          <w:sz w:val="32"/>
          <w:szCs w:val="32"/>
          <w:lang w:eastAsia="zh-CN"/>
        </w:rPr>
        <w:t>3分钟</w:t>
      </w:r>
      <w:r>
        <w:rPr>
          <w:rFonts w:hint="eastAsia" w:ascii="仿宋" w:hAnsi="仿宋" w:eastAsia="仿宋"/>
          <w:color w:val="auto"/>
          <w:sz w:val="32"/>
          <w:szCs w:val="32"/>
        </w:rPr>
        <w:t>发言</w:t>
      </w:r>
      <w:r>
        <w:rPr>
          <w:rFonts w:hint="eastAsia" w:ascii="仿宋" w:hAnsi="仿宋" w:eastAsia="仿宋"/>
          <w:color w:val="auto"/>
          <w:sz w:val="32"/>
          <w:szCs w:val="32"/>
          <w:lang w:eastAsia="zh-CN"/>
        </w:rPr>
        <w:t>，</w:t>
      </w:r>
      <w:r>
        <w:rPr>
          <w:rFonts w:hint="eastAsia" w:ascii="仿宋" w:hAnsi="仿宋" w:eastAsia="仿宋"/>
          <w:color w:val="auto"/>
          <w:sz w:val="32"/>
          <w:szCs w:val="32"/>
        </w:rPr>
        <w:t>不得超时</w:t>
      </w:r>
      <w:r>
        <w:rPr>
          <w:rFonts w:hint="eastAsia" w:ascii="仿宋" w:hAnsi="仿宋" w:eastAsia="仿宋"/>
          <w:color w:val="auto"/>
          <w:sz w:val="32"/>
          <w:szCs w:val="32"/>
          <w:lang w:eastAsia="zh-CN"/>
        </w:rPr>
        <w:t>。</w:t>
      </w:r>
      <w:r>
        <w:rPr>
          <w:rFonts w:hint="eastAsia" w:ascii="仿宋" w:hAnsi="仿宋" w:eastAsia="仿宋"/>
          <w:color w:val="auto"/>
          <w:sz w:val="32"/>
          <w:szCs w:val="32"/>
        </w:rPr>
        <w:t>面试时，考官根据</w:t>
      </w:r>
      <w:r>
        <w:rPr>
          <w:rFonts w:hint="eastAsia" w:ascii="仿宋" w:hAnsi="仿宋" w:eastAsia="仿宋"/>
          <w:color w:val="auto"/>
          <w:sz w:val="32"/>
          <w:szCs w:val="32"/>
          <w:lang w:val="en-US" w:eastAsia="zh-CN"/>
        </w:rPr>
        <w:t>招聘</w:t>
      </w:r>
      <w:r>
        <w:rPr>
          <w:rFonts w:hint="eastAsia" w:ascii="仿宋" w:hAnsi="仿宋" w:eastAsia="仿宋"/>
          <w:color w:val="auto"/>
          <w:sz w:val="32"/>
          <w:szCs w:val="32"/>
        </w:rPr>
        <w:t>岗位要求及</w:t>
      </w:r>
      <w:r>
        <w:rPr>
          <w:rFonts w:hint="eastAsia" w:ascii="仿宋" w:hAnsi="仿宋" w:eastAsia="仿宋"/>
          <w:color w:val="auto"/>
          <w:sz w:val="32"/>
          <w:szCs w:val="32"/>
          <w:lang w:val="en-US" w:eastAsia="zh-CN"/>
        </w:rPr>
        <w:t>考生</w:t>
      </w:r>
      <w:r>
        <w:rPr>
          <w:rFonts w:hint="eastAsia" w:ascii="仿宋" w:hAnsi="仿宋" w:eastAsia="仿宋"/>
          <w:color w:val="auto"/>
          <w:sz w:val="32"/>
          <w:szCs w:val="32"/>
        </w:rPr>
        <w:t>情况进行提问</w:t>
      </w:r>
      <w:r>
        <w:rPr>
          <w:rFonts w:hint="eastAsia" w:ascii="仿宋" w:hAnsi="仿宋" w:eastAsia="仿宋" w:cs="仿宋"/>
          <w:b w:val="0"/>
          <w:bCs w:val="0"/>
          <w:color w:val="auto"/>
          <w:sz w:val="32"/>
          <w:szCs w:val="32"/>
          <w:highlight w:val="none"/>
        </w:rPr>
        <w:t>。</w:t>
      </w:r>
    </w:p>
    <w:p w14:paraId="0708A14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面试满分为</w:t>
      </w:r>
      <w:r>
        <w:rPr>
          <w:rFonts w:hint="eastAsia" w:ascii="仿宋" w:hAnsi="仿宋" w:eastAsia="仿宋" w:cs="仿宋"/>
          <w:b w:val="0"/>
          <w:bCs w:val="0"/>
          <w:color w:val="auto"/>
          <w:sz w:val="32"/>
          <w:szCs w:val="32"/>
          <w:highlight w:val="none"/>
          <w:lang w:val="en-US" w:eastAsia="zh-CN"/>
        </w:rPr>
        <w:t>100</w:t>
      </w:r>
      <w:r>
        <w:rPr>
          <w:rFonts w:hint="eastAsia" w:ascii="仿宋" w:hAnsi="仿宋" w:eastAsia="仿宋" w:cs="仿宋"/>
          <w:b w:val="0"/>
          <w:bCs w:val="0"/>
          <w:color w:val="auto"/>
          <w:sz w:val="32"/>
          <w:szCs w:val="32"/>
          <w:highlight w:val="none"/>
        </w:rPr>
        <w:t>分，合格线为</w:t>
      </w:r>
      <w:r>
        <w:rPr>
          <w:rFonts w:hint="eastAsia" w:ascii="仿宋" w:hAnsi="仿宋" w:eastAsia="仿宋" w:cs="仿宋"/>
          <w:b w:val="0"/>
          <w:bCs w:val="0"/>
          <w:color w:val="auto"/>
          <w:sz w:val="32"/>
          <w:szCs w:val="32"/>
          <w:highlight w:val="none"/>
          <w:lang w:val="en-US" w:eastAsia="zh-CN"/>
        </w:rPr>
        <w:t>60</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实际</w:t>
      </w:r>
      <w:r>
        <w:rPr>
          <w:rFonts w:hint="eastAsia" w:ascii="仿宋" w:hAnsi="仿宋" w:eastAsia="仿宋" w:cs="仿宋"/>
          <w:b w:val="0"/>
          <w:bCs w:val="0"/>
          <w:color w:val="auto"/>
          <w:sz w:val="32"/>
          <w:szCs w:val="32"/>
          <w:highlight w:val="none"/>
          <w:lang w:val="en-US" w:eastAsia="zh-CN"/>
        </w:rPr>
        <w:t>到场</w:t>
      </w:r>
      <w:r>
        <w:rPr>
          <w:rFonts w:hint="eastAsia" w:ascii="仿宋" w:hAnsi="仿宋" w:eastAsia="仿宋" w:cs="仿宋"/>
          <w:b w:val="0"/>
          <w:bCs w:val="0"/>
          <w:color w:val="auto"/>
          <w:sz w:val="32"/>
          <w:szCs w:val="32"/>
          <w:highlight w:val="none"/>
        </w:rPr>
        <w:t>人数（以面试当天实际参考人数为准）与拟聘人数比例等于或低于</w:t>
      </w:r>
      <w:r>
        <w:rPr>
          <w:rFonts w:hint="eastAsia" w:ascii="仿宋" w:hAnsi="仿宋" w:eastAsia="仿宋" w:cs="仿宋"/>
          <w:b w:val="0"/>
          <w:bCs w:val="0"/>
          <w:color w:val="auto"/>
          <w:sz w:val="32"/>
          <w:szCs w:val="32"/>
          <w:highlight w:val="none"/>
          <w:lang w:val="en-US" w:eastAsia="zh-CN"/>
        </w:rPr>
        <w:t>1:1</w:t>
      </w:r>
      <w:r>
        <w:rPr>
          <w:rFonts w:hint="eastAsia" w:ascii="仿宋" w:hAnsi="仿宋" w:eastAsia="仿宋" w:cs="仿宋"/>
          <w:b w:val="0"/>
          <w:bCs w:val="0"/>
          <w:color w:val="auto"/>
          <w:sz w:val="32"/>
          <w:szCs w:val="32"/>
          <w:highlight w:val="none"/>
        </w:rPr>
        <w:t>的，该岗位面试成绩合格线为</w:t>
      </w:r>
      <w:r>
        <w:rPr>
          <w:rFonts w:hint="eastAsia" w:ascii="仿宋" w:hAnsi="仿宋" w:eastAsia="仿宋" w:cs="仿宋"/>
          <w:b w:val="0"/>
          <w:bCs w:val="0"/>
          <w:color w:val="auto"/>
          <w:sz w:val="32"/>
          <w:szCs w:val="32"/>
          <w:highlight w:val="none"/>
          <w:lang w:val="en-US" w:eastAsia="zh-CN"/>
        </w:rPr>
        <w:t>70</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highlight w:val="none"/>
          <w:lang w:eastAsia="zh-CN"/>
        </w:rPr>
        <w:t>。</w:t>
      </w:r>
    </w:p>
    <w:p w14:paraId="58F7944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综合总分计算</w:t>
      </w:r>
    </w:p>
    <w:p w14:paraId="79B52D3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综合总分合格线为60分，其中</w:t>
      </w:r>
      <w:r>
        <w:rPr>
          <w:rFonts w:hint="eastAsia" w:ascii="仿宋" w:hAnsi="仿宋" w:eastAsia="仿宋" w:cs="仿宋"/>
          <w:b w:val="0"/>
          <w:bCs w:val="0"/>
          <w:color w:val="auto"/>
          <w:sz w:val="32"/>
          <w:szCs w:val="32"/>
          <w:highlight w:val="none"/>
          <w:lang w:eastAsia="zh-CN"/>
        </w:rPr>
        <w:t>：</w:t>
      </w:r>
    </w:p>
    <w:p w14:paraId="1DD13E74">
      <w:pPr>
        <w:pStyle w:val="10"/>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b w:val="0"/>
          <w:bCs w:val="0"/>
          <w:color w:val="auto"/>
          <w:kern w:val="2"/>
          <w:sz w:val="32"/>
          <w:szCs w:val="32"/>
          <w:highlight w:val="none"/>
        </w:rPr>
      </w:pPr>
      <w:r>
        <w:rPr>
          <w:rFonts w:hint="eastAsia" w:ascii="仿宋" w:hAnsi="仿宋" w:eastAsia="仿宋" w:cs="仿宋"/>
          <w:b w:val="0"/>
          <w:bCs w:val="0"/>
          <w:color w:val="auto"/>
          <w:kern w:val="2"/>
          <w:sz w:val="32"/>
          <w:szCs w:val="32"/>
          <w:highlight w:val="none"/>
        </w:rPr>
        <w:t>综合总分=笔试成绩×50%+面试成绩×50%。</w:t>
      </w:r>
    </w:p>
    <w:p w14:paraId="4FF7FA5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笔试成绩、面试成绩、综合总分均采用四舍五入方式取小数点后2位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必要时增加小数点位数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。综合总分相同者，按以下规则进一步确定名次排列</w:t>
      </w:r>
      <w:r>
        <w:rPr>
          <w:rFonts w:hint="eastAsia" w:ascii="仿宋" w:hAnsi="仿宋" w:eastAsia="仿宋" w:cs="仿宋"/>
          <w:b w:val="0"/>
          <w:bCs w:val="0"/>
          <w:color w:val="auto"/>
          <w:sz w:val="32"/>
          <w:szCs w:val="32"/>
          <w:highlight w:val="none"/>
          <w:lang w:eastAsia="zh-CN"/>
        </w:rPr>
        <w:t>：</w:t>
      </w:r>
    </w:p>
    <w:p w14:paraId="1606323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1.按笔试成绩从高到低排列；</w:t>
      </w:r>
    </w:p>
    <w:p w14:paraId="5DE2311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2.若笔试成绩又相同，按面试成绩排列；</w:t>
      </w:r>
    </w:p>
    <w:p w14:paraId="425015A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3.若面试成绩又相同，符合国家、福建省或厦门市文件规定</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优先对象进入体检环节</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若无优先对象，</w:t>
      </w:r>
      <w:r>
        <w:rPr>
          <w:rFonts w:hint="eastAsia" w:ascii="仿宋" w:hAnsi="仿宋" w:eastAsia="仿宋" w:cs="仿宋"/>
          <w:b w:val="0"/>
          <w:bCs w:val="0"/>
          <w:color w:val="auto"/>
          <w:spacing w:val="9"/>
          <w:sz w:val="32"/>
          <w:szCs w:val="32"/>
          <w:highlight w:val="none"/>
        </w:rPr>
        <w:t>由面试组织部门重新组织专</w:t>
      </w:r>
      <w:r>
        <w:rPr>
          <w:rFonts w:hint="eastAsia" w:ascii="仿宋" w:hAnsi="仿宋" w:eastAsia="仿宋" w:cs="仿宋"/>
          <w:b w:val="0"/>
          <w:bCs w:val="0"/>
          <w:color w:val="auto"/>
          <w:spacing w:val="4"/>
          <w:sz w:val="32"/>
          <w:szCs w:val="32"/>
          <w:highlight w:val="none"/>
        </w:rPr>
        <w:t>项</w:t>
      </w:r>
      <w:r>
        <w:rPr>
          <w:rFonts w:hint="eastAsia" w:ascii="仿宋" w:hAnsi="仿宋" w:eastAsia="仿宋" w:cs="仿宋"/>
          <w:b w:val="0"/>
          <w:bCs w:val="0"/>
          <w:color w:val="auto"/>
          <w:spacing w:val="10"/>
          <w:sz w:val="32"/>
          <w:szCs w:val="32"/>
          <w:highlight w:val="none"/>
        </w:rPr>
        <w:t>面</w:t>
      </w:r>
      <w:r>
        <w:rPr>
          <w:rFonts w:hint="eastAsia" w:ascii="仿宋" w:hAnsi="仿宋" w:eastAsia="仿宋" w:cs="仿宋"/>
          <w:b w:val="0"/>
          <w:bCs w:val="0"/>
          <w:color w:val="auto"/>
          <w:spacing w:val="8"/>
          <w:sz w:val="32"/>
          <w:szCs w:val="32"/>
          <w:highlight w:val="none"/>
        </w:rPr>
        <w:t>试，取重新面试成绩较高者进入体检环节。</w:t>
      </w:r>
    </w:p>
    <w:p w14:paraId="09F95C3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九、</w:t>
      </w:r>
      <w:bookmarkEnd w:id="158"/>
      <w:r>
        <w:rPr>
          <w:rFonts w:hint="eastAsia" w:ascii="黑体" w:hAnsi="黑体" w:eastAsia="黑体" w:cs="黑体"/>
          <w:b w:val="0"/>
          <w:bCs w:val="0"/>
          <w:color w:val="auto"/>
          <w:sz w:val="32"/>
          <w:szCs w:val="32"/>
          <w:highlight w:val="none"/>
        </w:rPr>
        <w:t>体检</w:t>
      </w:r>
      <w:bookmarkEnd w:id="159"/>
      <w:bookmarkEnd w:id="160"/>
      <w:bookmarkEnd w:id="161"/>
      <w:bookmarkEnd w:id="162"/>
      <w:bookmarkEnd w:id="163"/>
      <w:bookmarkEnd w:id="164"/>
      <w:bookmarkEnd w:id="165"/>
      <w:bookmarkEnd w:id="166"/>
      <w:bookmarkEnd w:id="167"/>
      <w:bookmarkStart w:id="168" w:name="_Toc27716"/>
      <w:bookmarkStart w:id="169" w:name="_Toc6406"/>
      <w:bookmarkStart w:id="170" w:name="_Toc27514"/>
      <w:bookmarkStart w:id="171" w:name="_Toc32234"/>
      <w:bookmarkStart w:id="172" w:name="_Toc19599"/>
      <w:bookmarkStart w:id="173" w:name="_Toc28695"/>
      <w:bookmarkStart w:id="174" w:name="_Toc3"/>
      <w:bookmarkStart w:id="175" w:name="_Toc14108"/>
      <w:bookmarkStart w:id="176" w:name="_Toc27190"/>
    </w:p>
    <w:p w14:paraId="7ABAE34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确定体检人选</w:t>
      </w:r>
      <w:bookmarkEnd w:id="168"/>
      <w:bookmarkEnd w:id="169"/>
      <w:bookmarkEnd w:id="170"/>
      <w:bookmarkEnd w:id="171"/>
      <w:bookmarkEnd w:id="172"/>
      <w:bookmarkEnd w:id="173"/>
      <w:bookmarkEnd w:id="174"/>
      <w:bookmarkEnd w:id="175"/>
      <w:bookmarkEnd w:id="176"/>
      <w:bookmarkStart w:id="177" w:name="_Toc5078"/>
      <w:bookmarkStart w:id="178" w:name="_Toc15471"/>
      <w:bookmarkStart w:id="179" w:name="_Toc25487"/>
      <w:bookmarkStart w:id="180" w:name="_Toc4875"/>
      <w:bookmarkStart w:id="181" w:name="_Toc17027"/>
      <w:bookmarkStart w:id="182" w:name="_Toc28613"/>
      <w:bookmarkStart w:id="183" w:name="_Toc10127"/>
      <w:bookmarkStart w:id="184" w:name="_Toc31894"/>
      <w:bookmarkStart w:id="185" w:name="_Toc29898"/>
    </w:p>
    <w:p w14:paraId="24DC446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笔试、面试、综合总分成绩均合格</w:t>
      </w:r>
      <w:r>
        <w:rPr>
          <w:rFonts w:hint="eastAsia" w:ascii="仿宋" w:hAnsi="仿宋" w:eastAsia="仿宋" w:cs="仿宋"/>
          <w:b w:val="0"/>
          <w:bCs w:val="0"/>
          <w:color w:val="auto"/>
          <w:sz w:val="32"/>
          <w:szCs w:val="32"/>
          <w:highlight w:val="none"/>
          <w:lang w:val="en-US" w:eastAsia="zh-CN"/>
        </w:rPr>
        <w:t>的考生</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按</w:t>
      </w:r>
      <w:r>
        <w:rPr>
          <w:rFonts w:hint="eastAsia" w:ascii="仿宋" w:hAnsi="仿宋" w:eastAsia="仿宋" w:cs="仿宋"/>
          <w:b w:val="0"/>
          <w:bCs w:val="0"/>
          <w:color w:val="auto"/>
          <w:sz w:val="32"/>
          <w:szCs w:val="32"/>
          <w:highlight w:val="none"/>
        </w:rPr>
        <w:t>综合总分排名顺序</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岗位拟招聘人数1</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1的比例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从高分至低分确定体检人选。</w:t>
      </w:r>
    </w:p>
    <w:p w14:paraId="1747AFB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kern w:val="2"/>
          <w:sz w:val="32"/>
          <w:szCs w:val="32"/>
          <w:highlight w:val="none"/>
        </w:rPr>
      </w:pPr>
      <w:r>
        <w:rPr>
          <w:rFonts w:hint="eastAsia" w:ascii="楷体" w:hAnsi="楷体" w:eastAsia="楷体" w:cs="楷体"/>
          <w:b w:val="0"/>
          <w:bCs w:val="0"/>
          <w:color w:val="auto"/>
          <w:kern w:val="2"/>
          <w:sz w:val="32"/>
          <w:szCs w:val="32"/>
          <w:highlight w:val="none"/>
          <w:lang w:eastAsia="zh-CN"/>
        </w:rPr>
        <w:t>（</w:t>
      </w:r>
      <w:r>
        <w:rPr>
          <w:rFonts w:hint="eastAsia" w:ascii="楷体" w:hAnsi="楷体" w:eastAsia="楷体" w:cs="楷体"/>
          <w:b w:val="0"/>
          <w:bCs w:val="0"/>
          <w:color w:val="auto"/>
          <w:kern w:val="2"/>
          <w:sz w:val="32"/>
          <w:szCs w:val="32"/>
          <w:highlight w:val="none"/>
        </w:rPr>
        <w:t>二</w:t>
      </w:r>
      <w:r>
        <w:rPr>
          <w:rFonts w:hint="eastAsia" w:ascii="楷体" w:hAnsi="楷体" w:eastAsia="楷体" w:cs="楷体"/>
          <w:b w:val="0"/>
          <w:bCs w:val="0"/>
          <w:color w:val="auto"/>
          <w:kern w:val="2"/>
          <w:sz w:val="32"/>
          <w:szCs w:val="32"/>
          <w:highlight w:val="none"/>
          <w:lang w:eastAsia="zh-CN"/>
        </w:rPr>
        <w:t>）</w:t>
      </w:r>
      <w:r>
        <w:rPr>
          <w:rFonts w:hint="eastAsia" w:ascii="楷体" w:hAnsi="楷体" w:eastAsia="楷体" w:cs="楷体"/>
          <w:b w:val="0"/>
          <w:bCs w:val="0"/>
          <w:color w:val="auto"/>
          <w:kern w:val="2"/>
          <w:sz w:val="32"/>
          <w:szCs w:val="32"/>
          <w:highlight w:val="none"/>
        </w:rPr>
        <w:t>组织体检</w:t>
      </w:r>
      <w:bookmarkEnd w:id="177"/>
      <w:bookmarkEnd w:id="178"/>
      <w:bookmarkEnd w:id="179"/>
      <w:bookmarkEnd w:id="180"/>
      <w:bookmarkEnd w:id="181"/>
      <w:bookmarkEnd w:id="182"/>
      <w:bookmarkEnd w:id="183"/>
      <w:bookmarkEnd w:id="184"/>
      <w:bookmarkEnd w:id="185"/>
    </w:p>
    <w:p w14:paraId="6DE09D97">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rPr>
        <w:t>根据通知要求按时参加并配合体检，否则视为自动放弃资格。</w:t>
      </w:r>
    </w:p>
    <w:p w14:paraId="7137C435">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186" w:name="_Toc5442"/>
      <w:bookmarkStart w:id="187" w:name="_Toc12596"/>
      <w:bookmarkStart w:id="188" w:name="_Toc14139"/>
      <w:bookmarkStart w:id="189" w:name="_Toc30279"/>
      <w:bookmarkStart w:id="190" w:name="_Toc8135"/>
      <w:bookmarkStart w:id="191" w:name="_Toc23865"/>
      <w:bookmarkStart w:id="192" w:name="_Toc21764"/>
      <w:bookmarkStart w:id="193" w:name="_Toc12750"/>
      <w:bookmarkStart w:id="194" w:name="_Toc20421"/>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体检依据</w:t>
      </w:r>
      <w:bookmarkEnd w:id="186"/>
      <w:bookmarkEnd w:id="187"/>
      <w:bookmarkEnd w:id="188"/>
      <w:bookmarkEnd w:id="189"/>
      <w:bookmarkEnd w:id="190"/>
      <w:bookmarkEnd w:id="191"/>
      <w:bookmarkEnd w:id="192"/>
      <w:bookmarkEnd w:id="193"/>
      <w:bookmarkEnd w:id="194"/>
    </w:p>
    <w:p w14:paraId="07D0B67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本次招聘体检参照《公务员录用体检通用标准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》《公务员录用体检操作手册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》《关于修订〈公务员录用体检通用标准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〉及〈公务员录用体检操作手册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〉的通知》</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人社部发〔2016〕140号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文件要求，特殊岗位有相应体检标准的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可另行要求。具体检测方法由体检医院确定，体检结论以体检医院出具的体检报告为准。</w:t>
      </w:r>
    </w:p>
    <w:p w14:paraId="0B819529">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放射岗位</w:t>
      </w:r>
      <w:r>
        <w:rPr>
          <w:rFonts w:hint="eastAsia" w:ascii="仿宋" w:hAnsi="仿宋" w:eastAsia="仿宋" w:cs="仿宋"/>
          <w:b w:val="0"/>
          <w:bCs w:val="0"/>
          <w:color w:val="auto"/>
          <w:sz w:val="32"/>
          <w:szCs w:val="32"/>
          <w:highlight w:val="none"/>
          <w:lang w:val="en-US" w:eastAsia="zh-CN"/>
        </w:rPr>
        <w:t>须</w:t>
      </w:r>
      <w:r>
        <w:rPr>
          <w:rFonts w:hint="eastAsia" w:ascii="仿宋" w:hAnsi="仿宋" w:eastAsia="仿宋" w:cs="仿宋"/>
          <w:b w:val="0"/>
          <w:bCs w:val="0"/>
          <w:color w:val="auto"/>
          <w:sz w:val="32"/>
          <w:szCs w:val="32"/>
          <w:highlight w:val="none"/>
        </w:rPr>
        <w:t>根据《放射工作人员职业健康监护技术规范》</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卫通〔2011〕2号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完成岗前必检项目的体检。医学检验、生物制药、生物材料工程</w:t>
      </w:r>
      <w:r>
        <w:rPr>
          <w:rFonts w:hint="eastAsia" w:ascii="仿宋" w:hAnsi="仿宋" w:eastAsia="仿宋" w:cs="仿宋"/>
          <w:b w:val="0"/>
          <w:bCs w:val="0"/>
          <w:color w:val="auto"/>
          <w:sz w:val="32"/>
          <w:szCs w:val="32"/>
          <w:highlight w:val="none"/>
          <w:lang w:val="en-US" w:eastAsia="zh-CN"/>
        </w:rPr>
        <w:t>等</w:t>
      </w:r>
      <w:r>
        <w:rPr>
          <w:rFonts w:hint="eastAsia" w:ascii="仿宋" w:hAnsi="仿宋" w:eastAsia="仿宋" w:cs="仿宋"/>
          <w:b w:val="0"/>
          <w:bCs w:val="0"/>
          <w:color w:val="auto"/>
          <w:sz w:val="32"/>
          <w:szCs w:val="32"/>
          <w:highlight w:val="none"/>
        </w:rPr>
        <w:t>岗位</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体检结果</w:t>
      </w:r>
      <w:r>
        <w:rPr>
          <w:rFonts w:hint="eastAsia" w:ascii="仿宋" w:hAnsi="仿宋" w:eastAsia="仿宋" w:cs="仿宋"/>
          <w:b w:val="0"/>
          <w:bCs w:val="0"/>
          <w:color w:val="auto"/>
          <w:sz w:val="32"/>
          <w:szCs w:val="32"/>
          <w:highlight w:val="none"/>
          <w:lang w:val="en-US" w:eastAsia="zh-CN"/>
        </w:rPr>
        <w:t>须</w:t>
      </w:r>
      <w:r>
        <w:rPr>
          <w:rFonts w:hint="eastAsia" w:ascii="仿宋" w:hAnsi="仿宋" w:eastAsia="仿宋" w:cs="仿宋"/>
          <w:b w:val="0"/>
          <w:bCs w:val="0"/>
          <w:color w:val="auto"/>
          <w:sz w:val="32"/>
          <w:szCs w:val="32"/>
          <w:highlight w:val="none"/>
        </w:rPr>
        <w:t>满足《公务员录用体检特殊标准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试行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人社部发〔2010〕82号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对身体条件的要求。</w:t>
      </w:r>
    </w:p>
    <w:p w14:paraId="7B1EB8C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体</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检费用个人自理。在体检</w:t>
      </w:r>
      <w:r>
        <w:rPr>
          <w:rFonts w:hint="eastAsia" w:ascii="仿宋" w:hAnsi="仿宋" w:eastAsia="仿宋" w:cs="仿宋"/>
          <w:b w:val="0"/>
          <w:bCs w:val="0"/>
          <w:color w:val="auto"/>
          <w:sz w:val="32"/>
          <w:szCs w:val="32"/>
          <w:highlight w:val="none"/>
          <w:lang w:val="en-US" w:eastAsia="zh-CN"/>
        </w:rPr>
        <w:t>环节</w:t>
      </w:r>
      <w:r>
        <w:rPr>
          <w:rFonts w:hint="eastAsia" w:ascii="仿宋" w:hAnsi="仿宋" w:eastAsia="仿宋" w:cs="仿宋"/>
          <w:b w:val="0"/>
          <w:bCs w:val="0"/>
          <w:color w:val="auto"/>
          <w:sz w:val="32"/>
          <w:szCs w:val="32"/>
          <w:highlight w:val="none"/>
        </w:rPr>
        <w:t>弄虚作假或隐瞒真实身体状况的</w:t>
      </w: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rPr>
        <w:t>，取消</w:t>
      </w:r>
      <w:r>
        <w:rPr>
          <w:rFonts w:hint="eastAsia" w:ascii="仿宋" w:hAnsi="仿宋" w:eastAsia="仿宋" w:cs="仿宋"/>
          <w:b w:val="0"/>
          <w:bCs w:val="0"/>
          <w:color w:val="auto"/>
          <w:sz w:val="32"/>
          <w:szCs w:val="32"/>
          <w:highlight w:val="none"/>
          <w:lang w:val="en-US" w:eastAsia="zh-CN"/>
        </w:rPr>
        <w:t>体检（聘用）</w:t>
      </w:r>
      <w:r>
        <w:rPr>
          <w:rFonts w:hint="eastAsia" w:ascii="仿宋" w:hAnsi="仿宋" w:eastAsia="仿宋" w:cs="仿宋"/>
          <w:b w:val="0"/>
          <w:bCs w:val="0"/>
          <w:color w:val="auto"/>
          <w:sz w:val="32"/>
          <w:szCs w:val="32"/>
          <w:highlight w:val="none"/>
        </w:rPr>
        <w:t>资格。</w:t>
      </w:r>
    </w:p>
    <w:p w14:paraId="5F3AAA4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195" w:name="_Toc30928"/>
      <w:bookmarkStart w:id="196" w:name="_Toc16762"/>
      <w:bookmarkStart w:id="197" w:name="_Toc13607"/>
      <w:bookmarkStart w:id="198" w:name="_Toc20382"/>
      <w:bookmarkStart w:id="199" w:name="_Toc21509"/>
      <w:bookmarkStart w:id="200" w:name="_Toc16484"/>
      <w:bookmarkStart w:id="201" w:name="_Toc13211"/>
      <w:bookmarkStart w:id="202" w:name="_Toc29748"/>
      <w:bookmarkStart w:id="203" w:name="_Toc23446"/>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体检复检</w:t>
      </w:r>
      <w:bookmarkEnd w:id="195"/>
      <w:bookmarkEnd w:id="196"/>
      <w:bookmarkEnd w:id="197"/>
      <w:bookmarkEnd w:id="198"/>
      <w:bookmarkEnd w:id="199"/>
      <w:bookmarkEnd w:id="200"/>
      <w:bookmarkEnd w:id="201"/>
      <w:bookmarkEnd w:id="202"/>
      <w:bookmarkEnd w:id="203"/>
    </w:p>
    <w:p w14:paraId="6025780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复检参照《关于进一步做好公务员考试录用体检工作的通知》</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人社部发〔2012〕65号</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的有关规定执行，其中</w:t>
      </w:r>
      <w:r>
        <w:rPr>
          <w:rFonts w:hint="eastAsia" w:ascii="仿宋" w:hAnsi="仿宋" w:eastAsia="仿宋" w:cs="仿宋"/>
          <w:b w:val="0"/>
          <w:bCs w:val="0"/>
          <w:color w:val="auto"/>
          <w:sz w:val="32"/>
          <w:szCs w:val="32"/>
          <w:highlight w:val="none"/>
          <w:lang w:eastAsia="zh-CN"/>
        </w:rPr>
        <w:t>：</w:t>
      </w:r>
    </w:p>
    <w:p w14:paraId="4AF834E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1.对心率、视力、听力、血压等项目达不到合格标准的，安排当日复检；对边缘性心脏杂音、病理性心电图、病理性杂音、频发早搏</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心电图证实</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等项目达不到合格标准的，安排当场复检。</w:t>
      </w:r>
    </w:p>
    <w:p w14:paraId="07A5998E">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对非当日或非当场复检的体检结果有疑义，可在接到体检结论的7日内提出复检申请。复检时不得告知复检项目。复检只能进行1次，体检结论以复检结果为准。自行体检的结果一律无效。</w:t>
      </w:r>
    </w:p>
    <w:p w14:paraId="3D13FD60">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z w:val="32"/>
          <w:szCs w:val="32"/>
          <w:highlight w:val="none"/>
          <w:lang w:val="en-US" w:eastAsia="zh-CN"/>
        </w:rPr>
        <w:t>如我院</w:t>
      </w:r>
      <w:r>
        <w:rPr>
          <w:rFonts w:hint="eastAsia" w:ascii="仿宋" w:hAnsi="仿宋" w:eastAsia="仿宋" w:cs="仿宋"/>
          <w:b w:val="0"/>
          <w:bCs w:val="0"/>
          <w:color w:val="auto"/>
          <w:sz w:val="32"/>
          <w:szCs w:val="32"/>
          <w:highlight w:val="none"/>
        </w:rPr>
        <w:t>对</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体检结论有疑义，在接到体检结论通知之日起7日内决定是否安排</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复检。</w:t>
      </w:r>
    </w:p>
    <w:p w14:paraId="20C6F61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204" w:name="_Toc739"/>
      <w:bookmarkStart w:id="205" w:name="_Toc32448"/>
      <w:bookmarkStart w:id="206" w:name="_Toc4346"/>
      <w:bookmarkStart w:id="207" w:name="_Toc28493"/>
      <w:bookmarkStart w:id="208" w:name="_Toc11349"/>
      <w:bookmarkStart w:id="209" w:name="_Toc22708"/>
      <w:bookmarkStart w:id="210" w:name="_Toc647"/>
      <w:bookmarkStart w:id="211" w:name="_Toc8084"/>
      <w:bookmarkStart w:id="212" w:name="_Toc28126"/>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五</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可</w:t>
      </w:r>
      <w:r>
        <w:rPr>
          <w:rFonts w:hint="eastAsia" w:ascii="楷体" w:hAnsi="楷体" w:eastAsia="楷体" w:cs="楷体"/>
          <w:b w:val="0"/>
          <w:bCs w:val="0"/>
          <w:color w:val="auto"/>
          <w:sz w:val="32"/>
          <w:szCs w:val="32"/>
          <w:highlight w:val="none"/>
          <w:lang w:eastAsia="zh-CN"/>
        </w:rPr>
        <w:t>延缓体检</w:t>
      </w:r>
      <w:r>
        <w:rPr>
          <w:rFonts w:hint="eastAsia" w:ascii="楷体" w:hAnsi="楷体" w:eastAsia="楷体" w:cs="楷体"/>
          <w:b w:val="0"/>
          <w:bCs w:val="0"/>
          <w:color w:val="auto"/>
          <w:sz w:val="32"/>
          <w:szCs w:val="32"/>
          <w:highlight w:val="none"/>
        </w:rPr>
        <w:t>的情形</w:t>
      </w:r>
      <w:bookmarkEnd w:id="204"/>
      <w:bookmarkEnd w:id="205"/>
      <w:bookmarkEnd w:id="206"/>
      <w:bookmarkEnd w:id="207"/>
      <w:bookmarkEnd w:id="208"/>
      <w:bookmarkEnd w:id="209"/>
      <w:bookmarkEnd w:id="210"/>
      <w:bookmarkEnd w:id="211"/>
      <w:bookmarkEnd w:id="212"/>
    </w:p>
    <w:p w14:paraId="3B699B5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女性</w:t>
      </w:r>
      <w:r>
        <w:rPr>
          <w:rFonts w:hint="eastAsia" w:ascii="仿宋" w:hAnsi="仿宋" w:eastAsia="仿宋" w:cs="仿宋"/>
          <w:b w:val="0"/>
          <w:bCs w:val="0"/>
          <w:color w:val="auto"/>
          <w:sz w:val="32"/>
          <w:szCs w:val="32"/>
          <w:highlight w:val="none"/>
          <w:lang w:eastAsia="zh-CN"/>
        </w:rPr>
        <w:t>考生</w:t>
      </w:r>
      <w:r>
        <w:rPr>
          <w:rFonts w:hint="eastAsia" w:ascii="仿宋" w:hAnsi="仿宋" w:eastAsia="仿宋" w:cs="仿宋"/>
          <w:b w:val="0"/>
          <w:bCs w:val="0"/>
          <w:color w:val="auto"/>
          <w:sz w:val="32"/>
          <w:szCs w:val="32"/>
          <w:highlight w:val="none"/>
        </w:rPr>
        <w:t>因怀孕</w:t>
      </w:r>
      <w:r>
        <w:rPr>
          <w:rFonts w:hint="eastAsia" w:ascii="仿宋" w:hAnsi="仿宋" w:eastAsia="仿宋" w:cs="仿宋"/>
          <w:b w:val="0"/>
          <w:bCs w:val="0"/>
          <w:color w:val="auto"/>
          <w:sz w:val="32"/>
          <w:szCs w:val="32"/>
          <w:highlight w:val="none"/>
          <w:lang w:val="en-US" w:eastAsia="zh-CN"/>
        </w:rPr>
        <w:t>不能进入体检</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可延期体检，并约定延缓体检的最长期限</w:t>
      </w:r>
      <w:r>
        <w:rPr>
          <w:rFonts w:hint="eastAsia" w:ascii="仿宋" w:hAnsi="仿宋" w:eastAsia="仿宋" w:cs="仿宋"/>
          <w:b w:val="0"/>
          <w:bCs w:val="0"/>
          <w:color w:val="auto"/>
          <w:sz w:val="32"/>
          <w:szCs w:val="32"/>
          <w:highlight w:val="none"/>
        </w:rPr>
        <w:t>。</w:t>
      </w:r>
    </w:p>
    <w:p w14:paraId="24D3EAB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213" w:name="_Toc5225"/>
      <w:bookmarkStart w:id="214" w:name="_Toc28818"/>
      <w:bookmarkStart w:id="215" w:name="_Toc1565"/>
      <w:bookmarkStart w:id="216" w:name="_Toc3411"/>
      <w:bookmarkStart w:id="217" w:name="_Toc32366"/>
      <w:bookmarkStart w:id="218" w:name="_Toc24411"/>
      <w:bookmarkStart w:id="219" w:name="_Toc13622"/>
      <w:bookmarkStart w:id="220" w:name="_Toc8472"/>
      <w:bookmarkStart w:id="221" w:name="_Toc2243"/>
      <w:r>
        <w:rPr>
          <w:rFonts w:hint="eastAsia" w:ascii="黑体" w:hAnsi="黑体" w:eastAsia="黑体" w:cs="黑体"/>
          <w:b w:val="0"/>
          <w:bCs w:val="0"/>
          <w:color w:val="auto"/>
          <w:sz w:val="32"/>
          <w:szCs w:val="32"/>
          <w:highlight w:val="none"/>
        </w:rPr>
        <w:t>十、考察</w:t>
      </w:r>
      <w:bookmarkEnd w:id="213"/>
      <w:bookmarkEnd w:id="214"/>
      <w:bookmarkEnd w:id="215"/>
      <w:bookmarkEnd w:id="216"/>
      <w:bookmarkEnd w:id="217"/>
      <w:bookmarkEnd w:id="218"/>
      <w:bookmarkEnd w:id="219"/>
      <w:bookmarkEnd w:id="220"/>
      <w:bookmarkEnd w:id="221"/>
    </w:p>
    <w:p w14:paraId="1B43A97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体检合格</w:t>
      </w:r>
      <w:r>
        <w:rPr>
          <w:rFonts w:hint="eastAsia" w:ascii="仿宋" w:hAnsi="仿宋" w:eastAsia="仿宋" w:cs="仿宋"/>
          <w:b w:val="0"/>
          <w:bCs w:val="0"/>
          <w:color w:val="auto"/>
          <w:sz w:val="32"/>
          <w:szCs w:val="32"/>
          <w:highlight w:val="none"/>
          <w:lang w:val="en-US" w:eastAsia="zh-CN"/>
        </w:rPr>
        <w:t>的考生</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将</w:t>
      </w:r>
      <w:r>
        <w:rPr>
          <w:rFonts w:hint="eastAsia" w:ascii="仿宋" w:hAnsi="仿宋" w:eastAsia="仿宋" w:cs="仿宋"/>
          <w:b w:val="0"/>
          <w:bCs w:val="0"/>
          <w:color w:val="auto"/>
          <w:sz w:val="32"/>
          <w:szCs w:val="32"/>
          <w:highlight w:val="none"/>
        </w:rPr>
        <w:t>考察其政治思想、道德品质、廉洁自律、能力素质、学习和工作表现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是否需要回避等情况，并对</w:t>
      </w: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rPr>
        <w:t>的资格条件进行再次审核。</w:t>
      </w:r>
    </w:p>
    <w:p w14:paraId="39A05871">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考察工作前，</w:t>
      </w:r>
      <w:r>
        <w:rPr>
          <w:rFonts w:hint="eastAsia" w:ascii="仿宋" w:hAnsi="仿宋" w:eastAsia="仿宋" w:cs="仿宋"/>
          <w:b w:val="0"/>
          <w:bCs w:val="0"/>
          <w:color w:val="auto"/>
          <w:sz w:val="32"/>
          <w:szCs w:val="32"/>
          <w:highlight w:val="none"/>
          <w:lang w:val="en-US" w:eastAsia="zh-CN"/>
        </w:rPr>
        <w:t>我院</w:t>
      </w:r>
      <w:r>
        <w:rPr>
          <w:rFonts w:hint="eastAsia" w:ascii="仿宋" w:hAnsi="仿宋" w:eastAsia="仿宋" w:cs="仿宋"/>
          <w:b w:val="0"/>
          <w:bCs w:val="0"/>
          <w:color w:val="auto"/>
          <w:sz w:val="32"/>
          <w:szCs w:val="32"/>
          <w:highlight w:val="none"/>
        </w:rPr>
        <w:t>将通过中国执行信息公开网</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网址：</w:t>
      </w:r>
      <w:r>
        <w:rPr>
          <w:rFonts w:hint="eastAsia" w:ascii="仿宋" w:hAnsi="仿宋" w:eastAsia="仿宋" w:cs="仿宋"/>
          <w:b w:val="0"/>
          <w:bCs w:val="0"/>
          <w:color w:val="auto"/>
          <w:sz w:val="32"/>
          <w:szCs w:val="32"/>
          <w:highlight w:val="none"/>
        </w:rPr>
        <w:t>http</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//zxgk.court.gov.cn/</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核实</w:t>
      </w: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rPr>
        <w:t>有无失信被执行的情况，发现被依法列为失信联合惩戒对象的</w:t>
      </w:r>
      <w:r>
        <w:rPr>
          <w:rFonts w:hint="eastAsia" w:ascii="仿宋" w:hAnsi="仿宋" w:eastAsia="仿宋" w:cs="仿宋"/>
          <w:b w:val="0"/>
          <w:bCs w:val="0"/>
          <w:color w:val="auto"/>
          <w:sz w:val="32"/>
          <w:szCs w:val="32"/>
          <w:highlight w:val="none"/>
          <w:lang w:val="en-US" w:eastAsia="zh-CN"/>
        </w:rPr>
        <w:t>考生</w:t>
      </w:r>
      <w:r>
        <w:rPr>
          <w:rFonts w:hint="eastAsia" w:ascii="仿宋" w:hAnsi="仿宋" w:eastAsia="仿宋" w:cs="仿宋"/>
          <w:b w:val="0"/>
          <w:bCs w:val="0"/>
          <w:color w:val="auto"/>
          <w:sz w:val="32"/>
          <w:szCs w:val="32"/>
          <w:highlight w:val="none"/>
        </w:rPr>
        <w:t>，取消</w:t>
      </w:r>
      <w:r>
        <w:rPr>
          <w:rFonts w:hint="eastAsia" w:ascii="仿宋" w:hAnsi="仿宋" w:eastAsia="仿宋" w:cs="仿宋"/>
          <w:b w:val="0"/>
          <w:bCs w:val="0"/>
          <w:color w:val="auto"/>
          <w:sz w:val="32"/>
          <w:szCs w:val="32"/>
          <w:highlight w:val="none"/>
          <w:lang w:val="en-US" w:eastAsia="zh-CN"/>
        </w:rPr>
        <w:t>考察（</w:t>
      </w:r>
      <w:r>
        <w:rPr>
          <w:rFonts w:hint="eastAsia" w:ascii="仿宋" w:hAnsi="仿宋" w:eastAsia="仿宋" w:cs="仿宋"/>
          <w:b w:val="0"/>
          <w:bCs w:val="0"/>
          <w:color w:val="auto"/>
          <w:sz w:val="32"/>
          <w:szCs w:val="32"/>
          <w:highlight w:val="none"/>
        </w:rPr>
        <w:t>聘用</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资格</w:t>
      </w:r>
      <w:r>
        <w:rPr>
          <w:rFonts w:hint="eastAsia" w:ascii="仿宋" w:hAnsi="仿宋" w:eastAsia="仿宋" w:cs="仿宋"/>
          <w:b w:val="0"/>
          <w:bCs w:val="0"/>
          <w:color w:val="auto"/>
          <w:sz w:val="32"/>
          <w:szCs w:val="32"/>
          <w:highlight w:val="none"/>
          <w:lang w:eastAsia="zh-CN"/>
        </w:rPr>
        <w:t>。</w:t>
      </w:r>
    </w:p>
    <w:p w14:paraId="200A755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222" w:name="_Toc26510"/>
      <w:bookmarkStart w:id="223" w:name="_Toc824"/>
      <w:bookmarkStart w:id="224" w:name="_Toc6994"/>
      <w:bookmarkStart w:id="225" w:name="_Toc12913"/>
      <w:bookmarkStart w:id="226" w:name="_Toc3371"/>
      <w:bookmarkStart w:id="227" w:name="_Toc9126"/>
      <w:bookmarkStart w:id="228" w:name="_Toc29432"/>
      <w:bookmarkStart w:id="229" w:name="_Toc2745"/>
      <w:bookmarkStart w:id="230" w:name="_Toc2077"/>
      <w:r>
        <w:rPr>
          <w:rFonts w:hint="eastAsia" w:ascii="黑体" w:hAnsi="黑体" w:eastAsia="黑体" w:cs="黑体"/>
          <w:b w:val="0"/>
          <w:bCs w:val="0"/>
          <w:color w:val="auto"/>
          <w:sz w:val="32"/>
          <w:szCs w:val="32"/>
          <w:highlight w:val="none"/>
        </w:rPr>
        <w:t>十一、聘用</w:t>
      </w:r>
      <w:bookmarkEnd w:id="222"/>
      <w:bookmarkEnd w:id="223"/>
      <w:bookmarkEnd w:id="224"/>
      <w:bookmarkEnd w:id="225"/>
      <w:bookmarkEnd w:id="226"/>
      <w:bookmarkEnd w:id="227"/>
      <w:bookmarkEnd w:id="228"/>
      <w:bookmarkEnd w:id="229"/>
      <w:bookmarkEnd w:id="230"/>
      <w:bookmarkStart w:id="231" w:name="_Toc25406"/>
      <w:bookmarkStart w:id="232" w:name="_Toc5990"/>
      <w:bookmarkStart w:id="233" w:name="_Toc15037"/>
    </w:p>
    <w:p w14:paraId="344ED17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234" w:name="_Toc8579"/>
      <w:bookmarkStart w:id="235" w:name="_Toc8398"/>
      <w:bookmarkStart w:id="236" w:name="_Toc14984"/>
      <w:bookmarkStart w:id="237" w:name="_Toc21664"/>
      <w:bookmarkStart w:id="238" w:name="_Toc1476"/>
      <w:bookmarkStart w:id="239" w:name="_Toc1443"/>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手续办理</w:t>
      </w:r>
      <w:bookmarkEnd w:id="231"/>
      <w:bookmarkEnd w:id="232"/>
      <w:bookmarkEnd w:id="233"/>
      <w:bookmarkEnd w:id="234"/>
      <w:bookmarkEnd w:id="235"/>
      <w:bookmarkEnd w:id="236"/>
      <w:bookmarkEnd w:id="237"/>
      <w:bookmarkEnd w:id="238"/>
      <w:bookmarkEnd w:id="239"/>
    </w:p>
    <w:p w14:paraId="189C761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olor w:val="auto"/>
          <w:sz w:val="32"/>
          <w:szCs w:val="32"/>
        </w:rPr>
        <w:t>根据</w:t>
      </w:r>
      <w:r>
        <w:rPr>
          <w:rFonts w:hint="eastAsia" w:ascii="仿宋" w:hAnsi="仿宋" w:eastAsia="仿宋"/>
          <w:color w:val="auto"/>
          <w:sz w:val="32"/>
          <w:szCs w:val="32"/>
          <w:lang w:val="en-US" w:eastAsia="zh-CN"/>
        </w:rPr>
        <w:t>招聘</w:t>
      </w:r>
      <w:r>
        <w:rPr>
          <w:rFonts w:hint="eastAsia" w:ascii="仿宋" w:hAnsi="仿宋" w:eastAsia="仿宋"/>
          <w:color w:val="auto"/>
          <w:sz w:val="32"/>
          <w:szCs w:val="32"/>
        </w:rPr>
        <w:t>岗位要求</w:t>
      </w:r>
      <w:r>
        <w:rPr>
          <w:rFonts w:hint="eastAsia" w:ascii="仿宋" w:hAnsi="仿宋" w:eastAsia="仿宋"/>
          <w:color w:val="auto"/>
          <w:sz w:val="32"/>
          <w:szCs w:val="32"/>
          <w:lang w:val="en-US" w:eastAsia="zh-CN"/>
        </w:rPr>
        <w:t>以及笔试、面试</w:t>
      </w:r>
      <w:r>
        <w:rPr>
          <w:rFonts w:hint="eastAsia" w:ascii="仿宋" w:hAnsi="仿宋" w:eastAsia="仿宋"/>
          <w:color w:val="auto"/>
          <w:sz w:val="32"/>
          <w:szCs w:val="32"/>
        </w:rPr>
        <w:t>、体检、</w:t>
      </w:r>
      <w:r>
        <w:rPr>
          <w:rFonts w:hint="eastAsia" w:ascii="仿宋" w:hAnsi="仿宋" w:eastAsia="仿宋"/>
          <w:color w:val="auto"/>
          <w:sz w:val="32"/>
          <w:szCs w:val="32"/>
          <w:lang w:val="en-US" w:eastAsia="zh-CN"/>
        </w:rPr>
        <w:t>考察</w:t>
      </w:r>
      <w:r>
        <w:rPr>
          <w:rFonts w:hint="eastAsia" w:ascii="仿宋" w:hAnsi="仿宋" w:eastAsia="仿宋"/>
          <w:color w:val="auto"/>
          <w:sz w:val="32"/>
          <w:szCs w:val="32"/>
        </w:rPr>
        <w:t>结果，确定拟聘用人员名单，</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在复旦大学附属肿瘤医院</w:t>
      </w:r>
      <w:r>
        <w:rPr>
          <w:rFonts w:hint="eastAsia" w:ascii="仿宋" w:hAnsi="仿宋" w:eastAsia="仿宋"/>
          <w:color w:val="auto"/>
          <w:sz w:val="32"/>
          <w:szCs w:val="32"/>
          <w:lang w:val="en-US" w:eastAsia="zh-CN"/>
        </w:rPr>
        <w:t>官网公示</w:t>
      </w:r>
      <w:r>
        <w:rPr>
          <w:rFonts w:hint="eastAsia" w:ascii="仿宋" w:hAnsi="仿宋" w:eastAsia="仿宋"/>
          <w:color w:val="auto"/>
          <w:sz w:val="32"/>
          <w:szCs w:val="32"/>
        </w:rPr>
        <w:t>7个工作日</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网址：https://www.shca.org.cn/</w:t>
      </w:r>
      <w:r>
        <w:rPr>
          <w:rFonts w:hint="eastAsia" w:ascii="仿宋" w:hAnsi="仿宋" w:eastAsia="仿宋"/>
          <w:color w:val="auto"/>
          <w:sz w:val="32"/>
          <w:szCs w:val="32"/>
          <w:lang w:eastAsia="zh-CN"/>
        </w:rPr>
        <w:t>）</w:t>
      </w:r>
      <w:r>
        <w:rPr>
          <w:rFonts w:hint="eastAsia" w:ascii="仿宋" w:hAnsi="仿宋" w:eastAsia="仿宋" w:cs="仿宋"/>
          <w:b w:val="0"/>
          <w:bCs w:val="0"/>
          <w:color w:val="auto"/>
          <w:sz w:val="32"/>
          <w:szCs w:val="32"/>
          <w:highlight w:val="none"/>
        </w:rPr>
        <w:t>。</w:t>
      </w:r>
    </w:p>
    <w:p w14:paraId="1406C30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公示结果无异议，或经核实不影响聘用的，</w:t>
      </w:r>
      <w:r>
        <w:rPr>
          <w:rFonts w:hint="eastAsia" w:ascii="仿宋" w:hAnsi="仿宋" w:eastAsia="仿宋" w:cs="仿宋"/>
          <w:b w:val="0"/>
          <w:bCs w:val="0"/>
          <w:color w:val="auto"/>
          <w:sz w:val="32"/>
          <w:szCs w:val="32"/>
          <w:highlight w:val="none"/>
          <w:lang w:eastAsia="zh-CN"/>
        </w:rPr>
        <w:t>拟聘用人员</w:t>
      </w:r>
      <w:r>
        <w:rPr>
          <w:rFonts w:hint="eastAsia" w:ascii="仿宋" w:hAnsi="仿宋" w:eastAsia="仿宋" w:cs="仿宋"/>
          <w:b w:val="0"/>
          <w:bCs w:val="0"/>
          <w:color w:val="auto"/>
          <w:sz w:val="32"/>
          <w:szCs w:val="32"/>
          <w:highlight w:val="none"/>
        </w:rPr>
        <w:t>应于公示期满后5个月内提供办理聘用手续所需的全部资料</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含个人人事档案</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。因情况确实特殊、无法在上述期限内提供完备资料的，</w:t>
      </w:r>
      <w:r>
        <w:rPr>
          <w:rFonts w:hint="eastAsia" w:ascii="仿宋" w:hAnsi="仿宋" w:eastAsia="仿宋" w:cs="仿宋"/>
          <w:b w:val="0"/>
          <w:bCs w:val="0"/>
          <w:color w:val="auto"/>
          <w:sz w:val="32"/>
          <w:szCs w:val="32"/>
          <w:highlight w:val="none"/>
          <w:lang w:eastAsia="zh-CN"/>
        </w:rPr>
        <w:t>拟聘用人员</w:t>
      </w:r>
      <w:r>
        <w:rPr>
          <w:rFonts w:hint="eastAsia" w:ascii="仿宋" w:hAnsi="仿宋" w:eastAsia="仿宋" w:cs="仿宋"/>
          <w:b w:val="0"/>
          <w:bCs w:val="0"/>
          <w:color w:val="auto"/>
          <w:sz w:val="32"/>
          <w:szCs w:val="32"/>
          <w:highlight w:val="none"/>
        </w:rPr>
        <w:t>需提交书面申请并与</w:t>
      </w:r>
      <w:r>
        <w:rPr>
          <w:rFonts w:hint="eastAsia" w:ascii="仿宋" w:hAnsi="仿宋" w:eastAsia="仿宋" w:cs="仿宋"/>
          <w:b w:val="0"/>
          <w:bCs w:val="0"/>
          <w:color w:val="auto"/>
          <w:sz w:val="32"/>
          <w:szCs w:val="32"/>
          <w:highlight w:val="none"/>
          <w:lang w:val="en-US" w:eastAsia="zh-CN"/>
        </w:rPr>
        <w:t>我院</w:t>
      </w:r>
      <w:r>
        <w:rPr>
          <w:rFonts w:hint="eastAsia" w:ascii="仿宋" w:hAnsi="仿宋" w:eastAsia="仿宋" w:cs="仿宋"/>
          <w:b w:val="0"/>
          <w:bCs w:val="0"/>
          <w:color w:val="auto"/>
          <w:sz w:val="32"/>
          <w:szCs w:val="32"/>
          <w:highlight w:val="none"/>
        </w:rPr>
        <w:t>协商一致后，可适当延长资料提交时限</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延长时限原则上不超过2个月</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，否则视为自动放弃聘用资格。</w:t>
      </w:r>
    </w:p>
    <w:p w14:paraId="365F1D0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240" w:name="_Toc15886"/>
      <w:bookmarkStart w:id="241" w:name="_Toc19503"/>
      <w:bookmarkStart w:id="242" w:name="_Toc11701"/>
      <w:bookmarkStart w:id="243" w:name="_Toc1514"/>
      <w:bookmarkStart w:id="244" w:name="_Toc974"/>
      <w:bookmarkStart w:id="245" w:name="_Toc17386"/>
      <w:bookmarkStart w:id="246" w:name="_Toc27136"/>
      <w:bookmarkStart w:id="247" w:name="_Toc12717"/>
      <w:bookmarkStart w:id="248" w:name="_Toc27370"/>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岗位聘任</w:t>
      </w:r>
      <w:bookmarkEnd w:id="240"/>
      <w:bookmarkEnd w:id="241"/>
      <w:bookmarkEnd w:id="242"/>
      <w:bookmarkEnd w:id="243"/>
      <w:bookmarkEnd w:id="244"/>
      <w:bookmarkEnd w:id="245"/>
      <w:bookmarkEnd w:id="246"/>
      <w:bookmarkEnd w:id="247"/>
      <w:bookmarkEnd w:id="248"/>
    </w:p>
    <w:p w14:paraId="02058AA7">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本次拟聘用人员属于</w:t>
      </w:r>
      <w:r>
        <w:rPr>
          <w:rFonts w:hint="eastAsia" w:ascii="仿宋" w:hAnsi="仿宋" w:eastAsia="仿宋" w:cs="仿宋"/>
          <w:b w:val="0"/>
          <w:bCs w:val="0"/>
          <w:color w:val="auto"/>
          <w:sz w:val="32"/>
          <w:szCs w:val="32"/>
          <w:highlight w:val="none"/>
          <w:lang w:val="en-US" w:eastAsia="zh-CN"/>
        </w:rPr>
        <w:t>我院</w:t>
      </w:r>
      <w:r>
        <w:rPr>
          <w:rFonts w:hint="eastAsia" w:ascii="仿宋" w:hAnsi="仿宋" w:eastAsia="仿宋" w:cs="仿宋"/>
          <w:b w:val="0"/>
          <w:bCs w:val="0"/>
          <w:color w:val="auto"/>
          <w:sz w:val="32"/>
          <w:szCs w:val="32"/>
          <w:highlight w:val="none"/>
          <w:lang w:eastAsia="zh-CN"/>
        </w:rPr>
        <w:t>控制总量内的聘用工作人员，执行统一的事业单位人事管理制度。</w:t>
      </w:r>
    </w:p>
    <w:p w14:paraId="4FFB4B5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拟聘用人员</w:t>
      </w:r>
      <w:r>
        <w:rPr>
          <w:rFonts w:hint="eastAsia" w:ascii="仿宋" w:hAnsi="仿宋" w:eastAsia="仿宋" w:cs="仿宋"/>
          <w:b w:val="0"/>
          <w:bCs w:val="0"/>
          <w:color w:val="auto"/>
          <w:sz w:val="32"/>
          <w:szCs w:val="32"/>
          <w:highlight w:val="none"/>
        </w:rPr>
        <w:t>办理就业手续后，</w:t>
      </w:r>
      <w:r>
        <w:rPr>
          <w:rFonts w:hint="eastAsia" w:ascii="仿宋" w:hAnsi="仿宋" w:eastAsia="仿宋" w:cs="仿宋"/>
          <w:b w:val="0"/>
          <w:bCs w:val="0"/>
          <w:color w:val="auto"/>
          <w:sz w:val="32"/>
          <w:szCs w:val="32"/>
          <w:highlight w:val="none"/>
          <w:lang w:val="en-US" w:eastAsia="zh-CN"/>
        </w:rPr>
        <w:t>我院</w:t>
      </w:r>
      <w:r>
        <w:rPr>
          <w:rFonts w:hint="eastAsia" w:ascii="仿宋" w:hAnsi="仿宋" w:eastAsia="仿宋" w:cs="仿宋"/>
          <w:b w:val="0"/>
          <w:bCs w:val="0"/>
          <w:color w:val="auto"/>
          <w:sz w:val="32"/>
          <w:szCs w:val="32"/>
          <w:highlight w:val="none"/>
        </w:rPr>
        <w:t>依据《事业单位人事管理条例》《厦门市事业单位聘用制暂行规定》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与</w:t>
      </w:r>
      <w:r>
        <w:rPr>
          <w:rFonts w:hint="eastAsia" w:ascii="仿宋" w:hAnsi="仿宋" w:eastAsia="仿宋" w:cs="仿宋"/>
          <w:b w:val="0"/>
          <w:bCs w:val="0"/>
          <w:color w:val="auto"/>
          <w:sz w:val="32"/>
          <w:szCs w:val="32"/>
          <w:highlight w:val="none"/>
          <w:lang w:eastAsia="zh-CN"/>
        </w:rPr>
        <w:t>拟聘用人员</w:t>
      </w:r>
      <w:r>
        <w:rPr>
          <w:rFonts w:hint="eastAsia" w:ascii="仿宋" w:hAnsi="仿宋" w:eastAsia="仿宋" w:cs="仿宋"/>
          <w:b w:val="0"/>
          <w:bCs w:val="0"/>
          <w:color w:val="auto"/>
          <w:sz w:val="32"/>
          <w:szCs w:val="32"/>
          <w:highlight w:val="none"/>
        </w:rPr>
        <w:t>签订《聘用合同》</w:t>
      </w:r>
      <w:r>
        <w:rPr>
          <w:rFonts w:hint="eastAsia" w:ascii="仿宋" w:hAnsi="仿宋" w:eastAsia="仿宋" w:cs="仿宋"/>
          <w:b w:val="0"/>
          <w:bCs w:val="0"/>
          <w:color w:val="auto"/>
          <w:sz w:val="32"/>
          <w:szCs w:val="32"/>
          <w:highlight w:val="none"/>
          <w:lang w:eastAsia="zh-CN"/>
        </w:rPr>
        <w:t>，</w:t>
      </w:r>
      <w:bookmarkStart w:id="305" w:name="_GoBack"/>
      <w:bookmarkEnd w:id="305"/>
      <w:r>
        <w:rPr>
          <w:rFonts w:hint="eastAsia" w:ascii="仿宋" w:hAnsi="仿宋" w:eastAsia="仿宋" w:cs="仿宋"/>
          <w:b w:val="0"/>
          <w:bCs w:val="0"/>
          <w:color w:val="auto"/>
          <w:sz w:val="32"/>
          <w:szCs w:val="32"/>
          <w:highlight w:val="none"/>
        </w:rPr>
        <w:t>人员身份及工龄、工资、养老保险等待遇由</w:t>
      </w:r>
      <w:r>
        <w:rPr>
          <w:rFonts w:hint="eastAsia" w:ascii="仿宋" w:hAnsi="仿宋" w:eastAsia="仿宋" w:cs="仿宋"/>
          <w:b w:val="0"/>
          <w:bCs w:val="0"/>
          <w:color w:val="auto"/>
          <w:sz w:val="32"/>
          <w:szCs w:val="32"/>
          <w:highlight w:val="none"/>
          <w:lang w:val="en-US" w:eastAsia="zh-CN"/>
        </w:rPr>
        <w:t>我院</w:t>
      </w:r>
      <w:r>
        <w:rPr>
          <w:rFonts w:hint="eastAsia" w:ascii="仿宋" w:hAnsi="仿宋" w:eastAsia="仿宋" w:cs="仿宋"/>
          <w:b w:val="0"/>
          <w:bCs w:val="0"/>
          <w:color w:val="auto"/>
          <w:sz w:val="32"/>
          <w:szCs w:val="32"/>
          <w:highlight w:val="none"/>
        </w:rPr>
        <w:t>查阅其人事档案后，</w:t>
      </w:r>
      <w:r>
        <w:rPr>
          <w:rFonts w:hint="eastAsia" w:ascii="仿宋" w:hAnsi="仿宋" w:eastAsia="仿宋" w:cs="仿宋"/>
          <w:b w:val="0"/>
          <w:bCs w:val="0"/>
          <w:color w:val="auto"/>
          <w:sz w:val="32"/>
          <w:szCs w:val="32"/>
          <w:highlight w:val="none"/>
          <w:lang w:eastAsia="zh-CN"/>
        </w:rPr>
        <w:t>按</w:t>
      </w:r>
      <w:r>
        <w:rPr>
          <w:rFonts w:hint="eastAsia" w:ascii="仿宋" w:hAnsi="仿宋" w:eastAsia="仿宋" w:cs="仿宋"/>
          <w:b w:val="0"/>
          <w:bCs w:val="0"/>
          <w:color w:val="auto"/>
          <w:sz w:val="32"/>
          <w:szCs w:val="32"/>
          <w:highlight w:val="none"/>
        </w:rPr>
        <w:t>厦门市有关规定</w:t>
      </w:r>
      <w:r>
        <w:rPr>
          <w:rFonts w:hint="eastAsia" w:ascii="仿宋" w:hAnsi="仿宋" w:eastAsia="仿宋" w:cs="仿宋"/>
          <w:b w:val="0"/>
          <w:bCs w:val="0"/>
          <w:color w:val="auto"/>
          <w:sz w:val="32"/>
          <w:szCs w:val="32"/>
          <w:highlight w:val="none"/>
          <w:lang w:val="en-US" w:eastAsia="zh-CN"/>
        </w:rPr>
        <w:t>执行</w:t>
      </w:r>
      <w:r>
        <w:rPr>
          <w:rFonts w:hint="eastAsia" w:ascii="仿宋" w:hAnsi="仿宋" w:eastAsia="仿宋" w:cs="仿宋"/>
          <w:b w:val="0"/>
          <w:bCs w:val="0"/>
          <w:color w:val="auto"/>
          <w:sz w:val="32"/>
          <w:szCs w:val="32"/>
          <w:highlight w:val="none"/>
        </w:rPr>
        <w:t>。</w:t>
      </w:r>
    </w:p>
    <w:p w14:paraId="14DD934B">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olor w:val="auto"/>
          <w:sz w:val="32"/>
          <w:szCs w:val="32"/>
          <w:lang w:val="en-US" w:eastAsia="zh-CN"/>
        </w:rPr>
        <w:t>我院遵照事业单位岗位设置管理规定，按发布招聘岗位的类别和级别对</w:t>
      </w:r>
      <w:r>
        <w:rPr>
          <w:rFonts w:hint="eastAsia" w:ascii="仿宋" w:hAnsi="仿宋" w:eastAsia="仿宋"/>
          <w:color w:val="auto"/>
          <w:sz w:val="32"/>
          <w:szCs w:val="32"/>
        </w:rPr>
        <w:t>拟聘用</w:t>
      </w:r>
      <w:r>
        <w:rPr>
          <w:rFonts w:hint="eastAsia" w:ascii="仿宋" w:hAnsi="仿宋" w:eastAsia="仿宋"/>
          <w:color w:val="auto"/>
          <w:sz w:val="32"/>
          <w:szCs w:val="32"/>
          <w:lang w:val="en-US" w:eastAsia="zh-CN"/>
        </w:rPr>
        <w:t>人员进行聘任。如我院拟聘岗位数量不足或拟聘用人员不具备相应岗位的聘任资格条件，可实行高职低聘</w:t>
      </w:r>
      <w:r>
        <w:rPr>
          <w:rFonts w:hint="eastAsia" w:ascii="仿宋" w:hAnsi="仿宋" w:eastAsia="仿宋" w:cs="仿宋"/>
          <w:b w:val="0"/>
          <w:bCs w:val="0"/>
          <w:color w:val="auto"/>
          <w:sz w:val="32"/>
          <w:szCs w:val="32"/>
          <w:highlight w:val="none"/>
        </w:rPr>
        <w:t>。</w:t>
      </w:r>
      <w:bookmarkStart w:id="249" w:name="_Toc18947"/>
      <w:bookmarkStart w:id="250" w:name="_Toc15865"/>
      <w:bookmarkStart w:id="251" w:name="_Toc7768"/>
    </w:p>
    <w:p w14:paraId="33D12B1F">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0"/>
        <w:rPr>
          <w:rFonts w:hint="eastAsia" w:ascii="黑体" w:hAnsi="黑体" w:eastAsia="黑体" w:cs="黑体"/>
          <w:b w:val="0"/>
          <w:bCs w:val="0"/>
          <w:color w:val="auto"/>
          <w:sz w:val="32"/>
          <w:szCs w:val="32"/>
          <w:highlight w:val="none"/>
        </w:rPr>
      </w:pPr>
      <w:bookmarkStart w:id="252" w:name="_Toc15938"/>
      <w:bookmarkStart w:id="253" w:name="_Toc11026"/>
      <w:bookmarkStart w:id="254" w:name="_Toc30319"/>
      <w:bookmarkStart w:id="255" w:name="_Toc5705"/>
      <w:bookmarkStart w:id="256" w:name="_Toc5335"/>
      <w:bookmarkStart w:id="257" w:name="_Toc31199"/>
      <w:r>
        <w:rPr>
          <w:rFonts w:hint="eastAsia" w:ascii="黑体" w:hAnsi="黑体" w:eastAsia="黑体" w:cs="黑体"/>
          <w:b w:val="0"/>
          <w:bCs w:val="0"/>
          <w:color w:val="auto"/>
          <w:sz w:val="32"/>
          <w:szCs w:val="32"/>
          <w:highlight w:val="none"/>
        </w:rPr>
        <w:t>十二、其他事项</w:t>
      </w:r>
      <w:bookmarkEnd w:id="249"/>
      <w:bookmarkEnd w:id="250"/>
      <w:bookmarkEnd w:id="251"/>
      <w:bookmarkEnd w:id="252"/>
      <w:bookmarkEnd w:id="253"/>
      <w:bookmarkEnd w:id="254"/>
      <w:bookmarkEnd w:id="255"/>
      <w:bookmarkEnd w:id="256"/>
      <w:bookmarkEnd w:id="257"/>
      <w:bookmarkStart w:id="258" w:name="_Toc20963"/>
      <w:bookmarkStart w:id="259" w:name="_Toc29849"/>
      <w:bookmarkStart w:id="260" w:name="_Toc28131"/>
    </w:p>
    <w:p w14:paraId="2E888888">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bookmarkStart w:id="261" w:name="_Toc5470"/>
      <w:bookmarkStart w:id="262" w:name="_Toc7430"/>
      <w:bookmarkStart w:id="263" w:name="_Toc12131"/>
      <w:bookmarkStart w:id="264" w:name="_Toc10955"/>
      <w:bookmarkStart w:id="265" w:name="_Toc28664"/>
      <w:bookmarkStart w:id="266" w:name="_Toc26537"/>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一</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中共党员</w:t>
      </w:r>
      <w:bookmarkEnd w:id="258"/>
      <w:bookmarkEnd w:id="259"/>
      <w:bookmarkEnd w:id="260"/>
      <w:bookmarkEnd w:id="261"/>
      <w:bookmarkEnd w:id="262"/>
      <w:bookmarkEnd w:id="263"/>
      <w:bookmarkEnd w:id="264"/>
      <w:bookmarkEnd w:id="265"/>
      <w:bookmarkEnd w:id="266"/>
    </w:p>
    <w:p w14:paraId="27B5296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岗位资格条件要求为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中共党员</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的，中共预备党员可报考。</w:t>
      </w:r>
    </w:p>
    <w:p w14:paraId="22BC525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bookmarkStart w:id="267" w:name="_Toc24042"/>
      <w:bookmarkStart w:id="268" w:name="_Toc29092"/>
      <w:bookmarkStart w:id="269" w:name="_Toc1658"/>
      <w:bookmarkStart w:id="270" w:name="_Toc15299"/>
      <w:bookmarkStart w:id="271" w:name="_Toc26996"/>
      <w:bookmarkStart w:id="272" w:name="_Toc26727"/>
      <w:bookmarkStart w:id="273" w:name="_Toc31167"/>
      <w:bookmarkStart w:id="274" w:name="_Toc5176"/>
      <w:bookmarkStart w:id="275" w:name="_Toc1238"/>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职称</w:t>
      </w:r>
      <w:bookmarkEnd w:id="267"/>
      <w:bookmarkEnd w:id="268"/>
      <w:bookmarkEnd w:id="269"/>
      <w:bookmarkEnd w:id="270"/>
      <w:bookmarkEnd w:id="271"/>
      <w:bookmarkEnd w:id="272"/>
      <w:bookmarkEnd w:id="273"/>
      <w:bookmarkEnd w:id="274"/>
      <w:bookmarkEnd w:id="275"/>
    </w:p>
    <w:p w14:paraId="47683BC6">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276" w:name="_Toc23185"/>
      <w:bookmarkStart w:id="277" w:name="_Toc4029"/>
      <w:bookmarkStart w:id="278" w:name="_Toc21039"/>
      <w:bookmarkStart w:id="279" w:name="_Toc21952"/>
      <w:bookmarkStart w:id="280" w:name="_Toc23989"/>
      <w:bookmarkStart w:id="281" w:name="_Toc19212"/>
      <w:bookmarkStart w:id="282" w:name="_Toc16150"/>
      <w:bookmarkStart w:id="283" w:name="_Toc16551"/>
      <w:bookmarkStart w:id="284" w:name="_Toc4426"/>
      <w:r>
        <w:rPr>
          <w:rFonts w:hint="eastAsia" w:ascii="仿宋" w:hAnsi="仿宋" w:eastAsia="仿宋" w:cs="仿宋"/>
          <w:b w:val="0"/>
          <w:bCs w:val="0"/>
          <w:color w:val="auto"/>
          <w:sz w:val="32"/>
          <w:szCs w:val="32"/>
          <w:highlight w:val="none"/>
        </w:rPr>
        <w:t>岗位资格条件要求的职称是指经社会化评审、全国统一考试或考核确认等方式取得的专业技术职务任职资格，不含通过非公有制企业职称评审方式取得的职称。</w:t>
      </w:r>
    </w:p>
    <w:p w14:paraId="790AD01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p>
    <w:p w14:paraId="7E4A8F0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在资格复核时，</w:t>
      </w:r>
      <w:r>
        <w:rPr>
          <w:rFonts w:hint="eastAsia" w:ascii="仿宋" w:hAnsi="仿宋" w:eastAsia="仿宋" w:cs="仿宋"/>
          <w:b w:val="0"/>
          <w:bCs w:val="0"/>
          <w:color w:val="auto"/>
          <w:sz w:val="32"/>
          <w:szCs w:val="32"/>
          <w:highlight w:val="none"/>
          <w:lang w:eastAsia="zh-CN"/>
        </w:rPr>
        <w:t>未</w:t>
      </w:r>
      <w:r>
        <w:rPr>
          <w:rFonts w:hint="eastAsia" w:ascii="仿宋" w:hAnsi="仿宋" w:eastAsia="仿宋" w:cs="仿宋"/>
          <w:b w:val="0"/>
          <w:bCs w:val="0"/>
          <w:color w:val="auto"/>
          <w:sz w:val="32"/>
          <w:szCs w:val="32"/>
          <w:highlight w:val="none"/>
        </w:rPr>
        <w:t>取得岗位资格条件要求的职称证书的，提供成绩单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证明通过考试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、评审通过文件或考核确认表等有效材料。</w:t>
      </w:r>
    </w:p>
    <w:p w14:paraId="118E559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规范化培训</w:t>
      </w:r>
      <w:bookmarkEnd w:id="276"/>
      <w:bookmarkEnd w:id="277"/>
      <w:bookmarkEnd w:id="278"/>
      <w:bookmarkEnd w:id="279"/>
      <w:bookmarkEnd w:id="280"/>
      <w:bookmarkEnd w:id="281"/>
      <w:bookmarkEnd w:id="282"/>
      <w:bookmarkEnd w:id="283"/>
      <w:bookmarkEnd w:id="284"/>
    </w:p>
    <w:p w14:paraId="7D785AE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285" w:name="_Toc563"/>
      <w:bookmarkStart w:id="286" w:name="_Toc4062"/>
      <w:bookmarkStart w:id="287" w:name="_Toc9207"/>
      <w:bookmarkStart w:id="288" w:name="_Toc4591"/>
      <w:bookmarkStart w:id="289" w:name="_Toc9505"/>
      <w:bookmarkStart w:id="290" w:name="_Toc21766"/>
      <w:bookmarkStart w:id="291" w:name="_Toc20667"/>
      <w:bookmarkStart w:id="292" w:name="_Toc14906"/>
      <w:bookmarkStart w:id="293" w:name="_Toc18949"/>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年当年毕业的医学专业</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四证合一</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应届研究生及其他拟于202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年住院医师规范化培训结业的学生，在符合报考岗位其他资格条件的前提下，住院医师规范化培训合格证书可于202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年12月31日前随符合岗位报考条件的相应学历、学位证书一并提供。</w:t>
      </w:r>
    </w:p>
    <w:p w14:paraId="7B43877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应届高校毕业生</w:t>
      </w:r>
      <w:bookmarkEnd w:id="285"/>
      <w:bookmarkEnd w:id="286"/>
      <w:bookmarkEnd w:id="287"/>
      <w:bookmarkEnd w:id="288"/>
      <w:bookmarkEnd w:id="289"/>
      <w:bookmarkEnd w:id="290"/>
      <w:bookmarkEnd w:id="291"/>
      <w:bookmarkEnd w:id="292"/>
      <w:bookmarkEnd w:id="293"/>
    </w:p>
    <w:p w14:paraId="3D50181C">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bookmarkStart w:id="294" w:name="_Toc17835_WPSOffice_Level2"/>
      <w:bookmarkStart w:id="295" w:name="_Toc11834"/>
      <w:bookmarkStart w:id="296" w:name="_Toc2039"/>
      <w:bookmarkStart w:id="297" w:name="_Toc14931"/>
      <w:bookmarkStart w:id="298" w:name="_Toc499"/>
      <w:bookmarkStart w:id="299" w:name="_Toc18970"/>
      <w:bookmarkStart w:id="300" w:name="_Toc3069"/>
      <w:bookmarkStart w:id="301" w:name="_Toc1147"/>
      <w:bookmarkStart w:id="302" w:name="_Toc14505"/>
      <w:bookmarkStart w:id="303" w:name="_Toc5428"/>
      <w:bookmarkStart w:id="304" w:name="_Toc7516"/>
      <w:r>
        <w:rPr>
          <w:rFonts w:hint="eastAsia" w:ascii="仿宋" w:hAnsi="仿宋" w:eastAsia="仿宋" w:cs="仿宋"/>
          <w:b w:val="0"/>
          <w:bCs w:val="0"/>
          <w:color w:val="auto"/>
          <w:sz w:val="32"/>
          <w:szCs w:val="32"/>
          <w:highlight w:val="none"/>
        </w:rPr>
        <w:t>本次招聘中涉及的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届毕业生</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是指通过参加全国统一普通高等学校招生考试达到录取要求入学或国家承认的其他方式入学、经省级招办批准录取，入学时将档案关系转到就读学校，并于202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年1月1日至202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年12月31日取得普通高等学校</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教育</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学历、学位证书的毕业生。</w:t>
      </w:r>
    </w:p>
    <w:bookmarkEnd w:id="294"/>
    <w:bookmarkEnd w:id="295"/>
    <w:bookmarkEnd w:id="296"/>
    <w:bookmarkEnd w:id="297"/>
    <w:bookmarkEnd w:id="298"/>
    <w:bookmarkEnd w:id="299"/>
    <w:bookmarkEnd w:id="300"/>
    <w:bookmarkEnd w:id="301"/>
    <w:bookmarkEnd w:id="302"/>
    <w:bookmarkEnd w:id="303"/>
    <w:bookmarkEnd w:id="304"/>
    <w:p w14:paraId="1F85CB4A">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五</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生源</w:t>
      </w:r>
    </w:p>
    <w:p w14:paraId="450E570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厦门生源毕业生是指入学前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考入取得第一个全日制普通教育学历的院校前，下同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户籍和学籍</w:t>
      </w:r>
      <w:r>
        <w:rPr>
          <w:rFonts w:hint="eastAsia" w:ascii="仿宋" w:hAnsi="仿宋" w:eastAsia="仿宋" w:cs="仿宋"/>
          <w:b w:val="0"/>
          <w:bCs w:val="0"/>
          <w:color w:val="auto"/>
          <w:sz w:val="32"/>
          <w:szCs w:val="32"/>
          <w:highlight w:val="none"/>
          <w:lang w:val="en-US" w:eastAsia="zh-CN"/>
        </w:rPr>
        <w:t>已</w:t>
      </w:r>
      <w:r>
        <w:rPr>
          <w:rFonts w:hint="eastAsia" w:ascii="仿宋" w:hAnsi="仿宋" w:eastAsia="仿宋" w:cs="仿宋"/>
          <w:b w:val="0"/>
          <w:bCs w:val="0"/>
          <w:color w:val="auto"/>
          <w:sz w:val="32"/>
          <w:szCs w:val="32"/>
          <w:highlight w:val="none"/>
        </w:rPr>
        <w:t>在厦门市的全日制普通教育毕业生。符合以下条件之一的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参照厦门</w:t>
      </w:r>
      <w:r>
        <w:rPr>
          <w:rFonts w:hint="eastAsia" w:ascii="仿宋" w:hAnsi="仿宋" w:eastAsia="仿宋" w:cs="仿宋"/>
          <w:b w:val="0"/>
          <w:bCs w:val="0"/>
          <w:color w:val="auto"/>
          <w:sz w:val="32"/>
          <w:szCs w:val="32"/>
          <w:highlight w:val="none"/>
          <w:lang w:val="en-US" w:eastAsia="zh-CN"/>
        </w:rPr>
        <w:t>市</w:t>
      </w:r>
      <w:r>
        <w:rPr>
          <w:rFonts w:hint="eastAsia" w:ascii="仿宋" w:hAnsi="仿宋" w:eastAsia="仿宋" w:cs="仿宋"/>
          <w:b w:val="0"/>
          <w:bCs w:val="0"/>
          <w:color w:val="auto"/>
          <w:sz w:val="32"/>
          <w:szCs w:val="32"/>
          <w:highlight w:val="none"/>
        </w:rPr>
        <w:t>生源</w:t>
      </w:r>
      <w:r>
        <w:rPr>
          <w:rFonts w:hint="eastAsia" w:ascii="仿宋" w:hAnsi="仿宋" w:eastAsia="仿宋" w:cs="仿宋"/>
          <w:b w:val="0"/>
          <w:bCs w:val="0"/>
          <w:color w:val="auto"/>
          <w:sz w:val="32"/>
          <w:szCs w:val="32"/>
          <w:highlight w:val="none"/>
          <w:lang w:eastAsia="zh-CN"/>
        </w:rPr>
        <w:t>：</w:t>
      </w:r>
    </w:p>
    <w:p w14:paraId="690D4982">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1.入学前</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户籍在厦门市但学籍不在厦门市的</w:t>
      </w:r>
      <w:r>
        <w:rPr>
          <w:rFonts w:hint="eastAsia" w:ascii="仿宋" w:hAnsi="仿宋" w:eastAsia="仿宋" w:cs="仿宋"/>
          <w:b w:val="0"/>
          <w:bCs w:val="0"/>
          <w:color w:val="auto"/>
          <w:sz w:val="32"/>
          <w:szCs w:val="32"/>
          <w:highlight w:val="none"/>
          <w:lang w:eastAsia="zh-CN"/>
        </w:rPr>
        <w:t>全日制普通教育</w:t>
      </w:r>
      <w:r>
        <w:rPr>
          <w:rFonts w:hint="eastAsia" w:ascii="仿宋" w:hAnsi="仿宋" w:eastAsia="仿宋" w:cs="仿宋"/>
          <w:b w:val="0"/>
          <w:bCs w:val="0"/>
          <w:color w:val="auto"/>
          <w:sz w:val="32"/>
          <w:szCs w:val="32"/>
          <w:highlight w:val="none"/>
        </w:rPr>
        <w:t>毕业生；</w:t>
      </w:r>
    </w:p>
    <w:p w14:paraId="363B265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p>
    <w:p w14:paraId="7C138FDE">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2.入学前</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户籍和学籍虽不在厦门市，但</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rPr>
        <w:t>报名截止前父母或配偶有一方户籍在厦门市的</w:t>
      </w:r>
      <w:r>
        <w:rPr>
          <w:rFonts w:hint="eastAsia" w:ascii="仿宋" w:hAnsi="仿宋" w:eastAsia="仿宋" w:cs="仿宋"/>
          <w:b w:val="0"/>
          <w:bCs w:val="0"/>
          <w:color w:val="auto"/>
          <w:sz w:val="32"/>
          <w:szCs w:val="32"/>
          <w:highlight w:val="none"/>
          <w:lang w:eastAsia="zh-CN"/>
        </w:rPr>
        <w:t>全日制普通教育</w:t>
      </w: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年应届毕业生；</w:t>
      </w:r>
    </w:p>
    <w:p w14:paraId="3693EB83">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3.根据厦府办〔201</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〕229号</w:t>
      </w:r>
      <w:r>
        <w:rPr>
          <w:rFonts w:hint="eastAsia" w:ascii="仿宋" w:hAnsi="仿宋" w:eastAsia="仿宋" w:cs="仿宋"/>
          <w:b w:val="0"/>
          <w:bCs w:val="0"/>
          <w:color w:val="auto"/>
          <w:sz w:val="32"/>
          <w:szCs w:val="32"/>
          <w:highlight w:val="none"/>
          <w:lang w:val="en-US" w:eastAsia="zh-CN"/>
        </w:rPr>
        <w:t>文件来我</w:t>
      </w:r>
      <w:r>
        <w:rPr>
          <w:rFonts w:hint="eastAsia" w:ascii="仿宋" w:hAnsi="仿宋" w:eastAsia="仿宋" w:cs="仿宋"/>
          <w:b w:val="0"/>
          <w:bCs w:val="0"/>
          <w:color w:val="auto"/>
          <w:sz w:val="32"/>
          <w:szCs w:val="32"/>
          <w:highlight w:val="none"/>
        </w:rPr>
        <w:t>市就读普通高中且将户籍迁入我市的外来学生，普通高中毕业后从我市考入普通高等院校的全日制普通教育毕业生。</w:t>
      </w:r>
    </w:p>
    <w:p w14:paraId="462E8955">
      <w:pPr>
        <w:keepNext w:val="0"/>
        <w:keepLines w:val="0"/>
        <w:pageBreakBefore w:val="0"/>
        <w:kinsoku/>
        <w:wordWrap/>
        <w:overflowPunct/>
        <w:topLinePunct w:val="0"/>
        <w:autoSpaceDE/>
        <w:autoSpaceDN/>
        <w:bidi w:val="0"/>
        <w:spacing w:line="600" w:lineRule="exact"/>
        <w:ind w:left="0" w:leftChars="0" w:right="0" w:rightChars="0" w:firstLine="688"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12"/>
          <w:sz w:val="32"/>
          <w:szCs w:val="32"/>
          <w:highlight w:val="none"/>
        </w:rPr>
        <w:t>福</w:t>
      </w:r>
      <w:r>
        <w:rPr>
          <w:rFonts w:hint="eastAsia" w:ascii="仿宋" w:hAnsi="仿宋" w:eastAsia="仿宋" w:cs="仿宋"/>
          <w:b w:val="0"/>
          <w:bCs w:val="0"/>
          <w:color w:val="auto"/>
          <w:spacing w:val="6"/>
          <w:sz w:val="32"/>
          <w:szCs w:val="32"/>
          <w:highlight w:val="none"/>
        </w:rPr>
        <w:t>建生源类推界定。</w:t>
      </w:r>
    </w:p>
    <w:p w14:paraId="6C684B6D">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六</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pacing w:val="-6"/>
          <w:sz w:val="32"/>
          <w:szCs w:val="32"/>
          <w:highlight w:val="none"/>
        </w:rPr>
        <w:t>港澳台人员</w:t>
      </w:r>
    </w:p>
    <w:p w14:paraId="0EA03ED3">
      <w:pPr>
        <w:keepNext w:val="0"/>
        <w:keepLines w:val="0"/>
        <w:pageBreakBefore w:val="0"/>
        <w:kinsoku/>
        <w:wordWrap/>
        <w:overflowPunct/>
        <w:topLinePunct w:val="0"/>
        <w:autoSpaceDE/>
        <w:autoSpaceDN/>
        <w:bidi w:val="0"/>
        <w:spacing w:line="600" w:lineRule="exact"/>
        <w:ind w:left="0" w:leftChars="0" w:right="0" w:rightChars="0" w:firstLine="696" w:firstLineChars="200"/>
        <w:jc w:val="both"/>
        <w:textAlignment w:val="auto"/>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14"/>
          <w:sz w:val="32"/>
          <w:szCs w:val="32"/>
          <w:highlight w:val="none"/>
        </w:rPr>
        <w:t>港澳</w:t>
      </w:r>
      <w:r>
        <w:rPr>
          <w:rFonts w:hint="eastAsia" w:ascii="仿宋" w:hAnsi="仿宋" w:eastAsia="仿宋" w:cs="仿宋"/>
          <w:b w:val="0"/>
          <w:bCs w:val="0"/>
          <w:color w:val="auto"/>
          <w:spacing w:val="12"/>
          <w:sz w:val="32"/>
          <w:szCs w:val="32"/>
          <w:highlight w:val="none"/>
        </w:rPr>
        <w:t>台</w:t>
      </w:r>
      <w:r>
        <w:rPr>
          <w:rFonts w:hint="eastAsia" w:ascii="仿宋" w:hAnsi="仿宋" w:eastAsia="仿宋" w:cs="仿宋"/>
          <w:b w:val="0"/>
          <w:bCs w:val="0"/>
          <w:color w:val="auto"/>
          <w:spacing w:val="7"/>
          <w:sz w:val="32"/>
          <w:szCs w:val="32"/>
          <w:highlight w:val="none"/>
        </w:rPr>
        <w:t>人员</w:t>
      </w:r>
      <w:r>
        <w:rPr>
          <w:rFonts w:hint="eastAsia" w:ascii="仿宋" w:hAnsi="仿宋" w:eastAsia="仿宋" w:cs="仿宋"/>
          <w:b w:val="0"/>
          <w:bCs w:val="0"/>
          <w:color w:val="auto"/>
          <w:spacing w:val="7"/>
          <w:sz w:val="32"/>
          <w:szCs w:val="32"/>
          <w:highlight w:val="none"/>
          <w:lang w:eastAsia="zh-CN"/>
        </w:rPr>
        <w:t>（</w:t>
      </w:r>
      <w:r>
        <w:rPr>
          <w:rFonts w:hint="eastAsia" w:ascii="仿宋" w:hAnsi="仿宋" w:eastAsia="仿宋" w:cs="仿宋"/>
          <w:b w:val="0"/>
          <w:bCs w:val="0"/>
          <w:color w:val="auto"/>
          <w:spacing w:val="7"/>
          <w:sz w:val="32"/>
          <w:szCs w:val="32"/>
          <w:highlight w:val="none"/>
        </w:rPr>
        <w:t>不得持有外国籍</w:t>
      </w:r>
      <w:r>
        <w:rPr>
          <w:rFonts w:hint="eastAsia" w:ascii="仿宋" w:hAnsi="仿宋" w:eastAsia="仿宋" w:cs="仿宋"/>
          <w:b w:val="0"/>
          <w:bCs w:val="0"/>
          <w:color w:val="auto"/>
          <w:spacing w:val="7"/>
          <w:sz w:val="32"/>
          <w:szCs w:val="32"/>
          <w:highlight w:val="none"/>
          <w:lang w:eastAsia="zh-CN"/>
        </w:rPr>
        <w:t>）</w:t>
      </w:r>
      <w:r>
        <w:rPr>
          <w:rFonts w:hint="eastAsia" w:ascii="仿宋" w:hAnsi="仿宋" w:eastAsia="仿宋" w:cs="仿宋"/>
          <w:b w:val="0"/>
          <w:bCs w:val="0"/>
          <w:color w:val="auto"/>
          <w:spacing w:val="7"/>
          <w:sz w:val="32"/>
          <w:szCs w:val="32"/>
          <w:highlight w:val="none"/>
        </w:rPr>
        <w:t>招聘，</w:t>
      </w:r>
      <w:r>
        <w:rPr>
          <w:rFonts w:hint="eastAsia" w:ascii="仿宋" w:hAnsi="仿宋" w:eastAsia="仿宋" w:cs="仿宋"/>
          <w:b w:val="0"/>
          <w:bCs w:val="0"/>
          <w:color w:val="auto"/>
          <w:spacing w:val="7"/>
          <w:sz w:val="32"/>
          <w:szCs w:val="32"/>
          <w:highlight w:val="none"/>
          <w:lang w:val="en-US" w:eastAsia="zh-CN"/>
        </w:rPr>
        <w:t>具体</w:t>
      </w:r>
      <w:r>
        <w:rPr>
          <w:rFonts w:hint="eastAsia" w:ascii="仿宋" w:hAnsi="仿宋" w:eastAsia="仿宋" w:cs="仿宋"/>
          <w:b w:val="0"/>
          <w:bCs w:val="0"/>
          <w:color w:val="auto"/>
          <w:spacing w:val="7"/>
          <w:sz w:val="32"/>
          <w:szCs w:val="32"/>
          <w:highlight w:val="none"/>
          <w:lang w:eastAsia="zh-CN"/>
        </w:rPr>
        <w:t>按</w:t>
      </w:r>
      <w:r>
        <w:rPr>
          <w:rFonts w:hint="eastAsia" w:ascii="仿宋" w:hAnsi="仿宋" w:eastAsia="仿宋" w:cs="仿宋"/>
          <w:b w:val="0"/>
          <w:bCs w:val="0"/>
          <w:color w:val="auto"/>
          <w:spacing w:val="7"/>
          <w:sz w:val="32"/>
          <w:szCs w:val="32"/>
          <w:highlight w:val="none"/>
        </w:rPr>
        <w:t>国家、</w:t>
      </w:r>
      <w:r>
        <w:rPr>
          <w:rFonts w:hint="eastAsia" w:ascii="仿宋" w:hAnsi="仿宋" w:eastAsia="仿宋" w:cs="仿宋"/>
          <w:b w:val="0"/>
          <w:bCs w:val="0"/>
          <w:color w:val="auto"/>
          <w:spacing w:val="7"/>
          <w:sz w:val="32"/>
          <w:szCs w:val="32"/>
          <w:highlight w:val="none"/>
          <w:lang w:val="en-US" w:eastAsia="zh-CN"/>
        </w:rPr>
        <w:t>福建</w:t>
      </w:r>
      <w:r>
        <w:rPr>
          <w:rFonts w:hint="eastAsia" w:ascii="仿宋" w:hAnsi="仿宋" w:eastAsia="仿宋" w:cs="仿宋"/>
          <w:b w:val="0"/>
          <w:bCs w:val="0"/>
          <w:color w:val="auto"/>
          <w:spacing w:val="7"/>
          <w:sz w:val="32"/>
          <w:szCs w:val="32"/>
          <w:highlight w:val="none"/>
        </w:rPr>
        <w:t>省</w:t>
      </w:r>
      <w:r>
        <w:rPr>
          <w:rFonts w:hint="eastAsia" w:ascii="仿宋" w:hAnsi="仿宋" w:eastAsia="仿宋" w:cs="仿宋"/>
          <w:b w:val="0"/>
          <w:bCs w:val="0"/>
          <w:color w:val="auto"/>
          <w:spacing w:val="8"/>
          <w:sz w:val="32"/>
          <w:szCs w:val="32"/>
          <w:highlight w:val="none"/>
        </w:rPr>
        <w:t>和</w:t>
      </w:r>
      <w:r>
        <w:rPr>
          <w:rFonts w:hint="eastAsia" w:ascii="仿宋" w:hAnsi="仿宋" w:eastAsia="仿宋" w:cs="仿宋"/>
          <w:b w:val="0"/>
          <w:bCs w:val="0"/>
          <w:color w:val="auto"/>
          <w:spacing w:val="7"/>
          <w:sz w:val="32"/>
          <w:szCs w:val="32"/>
          <w:highlight w:val="none"/>
        </w:rPr>
        <w:t>厦门市有关规定办理。</w:t>
      </w:r>
    </w:p>
    <w:p w14:paraId="639ED024">
      <w:pPr>
        <w:keepNext w:val="0"/>
        <w:keepLines w:val="0"/>
        <w:pageBreakBefore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七</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pacing w:val="-4"/>
          <w:sz w:val="32"/>
          <w:szCs w:val="32"/>
          <w:highlight w:val="none"/>
        </w:rPr>
        <w:t>技工院校毕业</w:t>
      </w:r>
      <w:r>
        <w:rPr>
          <w:rFonts w:hint="eastAsia" w:ascii="楷体" w:hAnsi="楷体" w:eastAsia="楷体" w:cs="楷体"/>
          <w:b w:val="0"/>
          <w:bCs w:val="0"/>
          <w:color w:val="auto"/>
          <w:spacing w:val="-3"/>
          <w:sz w:val="32"/>
          <w:szCs w:val="32"/>
          <w:highlight w:val="none"/>
        </w:rPr>
        <w:t>生</w:t>
      </w:r>
    </w:p>
    <w:p w14:paraId="40D36D4E">
      <w:pPr>
        <w:keepNext w:val="0"/>
        <w:keepLines w:val="0"/>
        <w:pageBreakBefore w:val="0"/>
        <w:kinsoku/>
        <w:wordWrap/>
        <w:overflowPunct/>
        <w:topLinePunct w:val="0"/>
        <w:autoSpaceDE/>
        <w:autoSpaceDN/>
        <w:bidi w:val="0"/>
        <w:spacing w:line="600" w:lineRule="exact"/>
        <w:ind w:left="0" w:leftChars="0" w:right="0" w:rightChars="0" w:firstLine="672"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pacing w:val="8"/>
          <w:sz w:val="32"/>
          <w:szCs w:val="32"/>
          <w:highlight w:val="none"/>
        </w:rPr>
        <w:t>技工院校全日制高级工班、预备技师</w:t>
      </w:r>
      <w:r>
        <w:rPr>
          <w:rFonts w:hint="eastAsia" w:ascii="仿宋" w:hAnsi="仿宋" w:eastAsia="仿宋" w:cs="仿宋"/>
          <w:b w:val="0"/>
          <w:bCs w:val="0"/>
          <w:color w:val="auto"/>
          <w:spacing w:val="8"/>
          <w:sz w:val="32"/>
          <w:szCs w:val="32"/>
          <w:highlight w:val="none"/>
          <w:lang w:eastAsia="zh-CN"/>
        </w:rPr>
        <w:t>（</w:t>
      </w:r>
      <w:r>
        <w:rPr>
          <w:rFonts w:hint="eastAsia" w:ascii="仿宋" w:hAnsi="仿宋" w:eastAsia="仿宋" w:cs="仿宋"/>
          <w:b w:val="0"/>
          <w:bCs w:val="0"/>
          <w:color w:val="auto"/>
          <w:spacing w:val="8"/>
          <w:sz w:val="32"/>
          <w:szCs w:val="32"/>
          <w:highlight w:val="none"/>
        </w:rPr>
        <w:t>技师</w:t>
      </w:r>
      <w:r>
        <w:rPr>
          <w:rFonts w:hint="eastAsia" w:ascii="仿宋" w:hAnsi="仿宋" w:eastAsia="仿宋" w:cs="仿宋"/>
          <w:b w:val="0"/>
          <w:bCs w:val="0"/>
          <w:color w:val="auto"/>
          <w:spacing w:val="8"/>
          <w:sz w:val="32"/>
          <w:szCs w:val="32"/>
          <w:highlight w:val="none"/>
          <w:lang w:eastAsia="zh-CN"/>
        </w:rPr>
        <w:t>）</w:t>
      </w:r>
      <w:r>
        <w:rPr>
          <w:rFonts w:hint="eastAsia" w:ascii="仿宋" w:hAnsi="仿宋" w:eastAsia="仿宋" w:cs="仿宋"/>
          <w:b w:val="0"/>
          <w:bCs w:val="0"/>
          <w:color w:val="auto"/>
          <w:spacing w:val="8"/>
          <w:sz w:val="32"/>
          <w:szCs w:val="32"/>
          <w:highlight w:val="none"/>
        </w:rPr>
        <w:t>班毕业</w:t>
      </w:r>
      <w:r>
        <w:rPr>
          <w:rFonts w:hint="eastAsia" w:ascii="仿宋" w:hAnsi="仿宋" w:eastAsia="仿宋" w:cs="仿宋"/>
          <w:b w:val="0"/>
          <w:bCs w:val="0"/>
          <w:color w:val="auto"/>
          <w:spacing w:val="8"/>
          <w:sz w:val="32"/>
          <w:szCs w:val="32"/>
          <w:highlight w:val="none"/>
          <w:lang w:eastAsia="zh-CN"/>
        </w:rPr>
        <w:t>，</w:t>
      </w:r>
      <w:r>
        <w:rPr>
          <w:rFonts w:hint="eastAsia" w:ascii="仿宋" w:hAnsi="仿宋" w:eastAsia="仿宋" w:cs="仿宋"/>
          <w:b w:val="0"/>
          <w:bCs w:val="0"/>
          <w:color w:val="auto"/>
          <w:spacing w:val="15"/>
          <w:sz w:val="32"/>
          <w:szCs w:val="32"/>
          <w:highlight w:val="none"/>
        </w:rPr>
        <w:t>且</w:t>
      </w:r>
      <w:r>
        <w:rPr>
          <w:rFonts w:hint="eastAsia" w:ascii="仿宋" w:hAnsi="仿宋" w:eastAsia="仿宋" w:cs="仿宋"/>
          <w:b w:val="0"/>
          <w:bCs w:val="0"/>
          <w:color w:val="auto"/>
          <w:spacing w:val="8"/>
          <w:sz w:val="32"/>
          <w:szCs w:val="32"/>
          <w:highlight w:val="none"/>
        </w:rPr>
        <w:t>毕业时已取得相应高级工、预备技师</w:t>
      </w:r>
      <w:r>
        <w:rPr>
          <w:rFonts w:hint="eastAsia" w:ascii="仿宋" w:hAnsi="仿宋" w:eastAsia="仿宋" w:cs="仿宋"/>
          <w:b w:val="0"/>
          <w:bCs w:val="0"/>
          <w:color w:val="auto"/>
          <w:spacing w:val="8"/>
          <w:sz w:val="32"/>
          <w:szCs w:val="32"/>
          <w:highlight w:val="none"/>
          <w:lang w:eastAsia="zh-CN"/>
        </w:rPr>
        <w:t>（</w:t>
      </w:r>
      <w:r>
        <w:rPr>
          <w:rFonts w:hint="eastAsia" w:ascii="仿宋" w:hAnsi="仿宋" w:eastAsia="仿宋" w:cs="仿宋"/>
          <w:b w:val="0"/>
          <w:bCs w:val="0"/>
          <w:color w:val="auto"/>
          <w:spacing w:val="8"/>
          <w:sz w:val="32"/>
          <w:szCs w:val="32"/>
          <w:highlight w:val="none"/>
        </w:rPr>
        <w:t>技师</w:t>
      </w:r>
      <w:r>
        <w:rPr>
          <w:rFonts w:hint="eastAsia" w:ascii="仿宋" w:hAnsi="仿宋" w:eastAsia="仿宋" w:cs="仿宋"/>
          <w:b w:val="0"/>
          <w:bCs w:val="0"/>
          <w:color w:val="auto"/>
          <w:spacing w:val="8"/>
          <w:sz w:val="32"/>
          <w:szCs w:val="32"/>
          <w:highlight w:val="none"/>
          <w:lang w:eastAsia="zh-CN"/>
        </w:rPr>
        <w:t>）</w:t>
      </w:r>
      <w:r>
        <w:rPr>
          <w:rFonts w:hint="eastAsia" w:ascii="仿宋" w:hAnsi="仿宋" w:eastAsia="仿宋" w:cs="仿宋"/>
          <w:b w:val="0"/>
          <w:bCs w:val="0"/>
          <w:color w:val="auto"/>
          <w:spacing w:val="8"/>
          <w:sz w:val="32"/>
          <w:szCs w:val="32"/>
          <w:highlight w:val="none"/>
        </w:rPr>
        <w:t>职业技能等</w:t>
      </w:r>
      <w:r>
        <w:rPr>
          <w:rFonts w:hint="eastAsia" w:ascii="仿宋" w:hAnsi="仿宋" w:eastAsia="仿宋" w:cs="仿宋"/>
          <w:b w:val="0"/>
          <w:bCs w:val="0"/>
          <w:color w:val="auto"/>
          <w:spacing w:val="9"/>
          <w:sz w:val="32"/>
          <w:szCs w:val="32"/>
          <w:highlight w:val="none"/>
        </w:rPr>
        <w:t>级证书的，可分别视同大专</w:t>
      </w:r>
      <w:r>
        <w:rPr>
          <w:rFonts w:hint="eastAsia" w:ascii="仿宋" w:hAnsi="仿宋" w:eastAsia="仿宋" w:cs="仿宋"/>
          <w:b w:val="0"/>
          <w:bCs w:val="0"/>
          <w:color w:val="auto"/>
          <w:spacing w:val="6"/>
          <w:sz w:val="32"/>
          <w:szCs w:val="32"/>
          <w:highlight w:val="none"/>
        </w:rPr>
        <w:t>、</w:t>
      </w:r>
      <w:r>
        <w:rPr>
          <w:rFonts w:hint="eastAsia" w:ascii="仿宋" w:hAnsi="仿宋" w:eastAsia="仿宋" w:cs="仿宋"/>
          <w:b w:val="0"/>
          <w:bCs w:val="0"/>
          <w:color w:val="auto"/>
          <w:spacing w:val="2"/>
          <w:sz w:val="32"/>
          <w:szCs w:val="32"/>
          <w:highlight w:val="none"/>
        </w:rPr>
        <w:t>本科学历</w:t>
      </w:r>
      <w:r>
        <w:rPr>
          <w:rFonts w:hint="eastAsia" w:ascii="仿宋" w:hAnsi="仿宋" w:eastAsia="仿宋" w:cs="仿宋"/>
          <w:b w:val="0"/>
          <w:bCs w:val="0"/>
          <w:color w:val="auto"/>
          <w:sz w:val="32"/>
          <w:szCs w:val="32"/>
          <w:highlight w:val="none"/>
        </w:rPr>
        <w:t>。</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741C69-5941-4391-92C6-DA14EA5796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2" w:fontKey="{8CB04548-02F0-4516-AE5B-E39AF7645D50}"/>
  </w:font>
  <w:font w:name="仿宋">
    <w:panose1 w:val="02010609060101010101"/>
    <w:charset w:val="86"/>
    <w:family w:val="auto"/>
    <w:pitch w:val="default"/>
    <w:sig w:usb0="800002BF" w:usb1="38CF7CFA" w:usb2="00000016" w:usb3="00000000" w:csb0="00040001" w:csb1="00000000"/>
    <w:embedRegular r:id="rId3" w:fontKey="{65BFF7AC-40DB-419D-A3CF-0636C1AD0242}"/>
  </w:font>
  <w:font w:name="楷体">
    <w:panose1 w:val="02010609060101010101"/>
    <w:charset w:val="86"/>
    <w:family w:val="auto"/>
    <w:pitch w:val="default"/>
    <w:sig w:usb0="800002BF" w:usb1="38CF7CFA" w:usb2="00000016" w:usb3="00000000" w:csb0="00040001" w:csb1="00000000"/>
    <w:embedRegular r:id="rId4" w:fontKey="{E5A58ACB-768D-4499-8657-C3B434C1CA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01C7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574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5740" cy="139700"/>
                      </a:xfrm>
                      <a:prstGeom prst="rect">
                        <a:avLst/>
                      </a:prstGeom>
                      <a:noFill/>
                      <a:ln>
                        <a:noFill/>
                      </a:ln>
                      <a:effectLst/>
                    </wps:spPr>
                    <wps:txbx>
                      <w:txbxContent>
                        <w:p w14:paraId="2319DAAE">
                          <w:pPr>
                            <w:pStyle w:val="6"/>
                          </w:pPr>
                          <w:r>
                            <w:fldChar w:fldCharType="begin"/>
                          </w:r>
                          <w:r>
                            <w:instrText xml:space="preserve"> PAGE  \* MERGEFORMAT </w:instrText>
                          </w:r>
                          <w:r>
                            <w:fldChar w:fldCharType="separate"/>
                          </w:r>
                          <w:r>
                            <w:t>1</w:t>
                          </w:r>
                          <w:r>
                            <w:fldChar w:fldCharType="end"/>
                          </w:r>
                        </w:p>
                      </w:txbxContent>
                    </wps:txbx>
                    <wps:bodyPr wrap="square" lIns="0" tIns="0" rIns="0" bIns="0" upright="1">
                      <a:spAutoFit/>
                    </wps:bodyPr>
                  </wps:wsp>
                </a:graphicData>
              </a:graphic>
            </wp:anchor>
          </w:drawing>
        </mc:Choice>
        <mc:Fallback>
          <w:pict>
            <v:shape id="_x0000_s1026" o:spid="_x0000_s1026" o:spt="202" type="#_x0000_t202" style="position:absolute;left:0pt;margin-top:0pt;height:11pt;width:16.2pt;mso-position-horizontal:center;mso-position-horizontal-relative:margin;z-index:251659264;mso-width-relative:page;mso-height-relative:page;" filled="f" stroked="f" coordsize="21600,21600" o:gfxdata="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EP/kLSAAAAAwEAAA8AAAAAAAAAAQAgAAAAIgAA&#10;AGRycy9kb3ducmV2LnhtbFBLAQIUABQAAAAIAIdO4kD6Hga+1QEAAKcDAAAOAAAAAAAAAAEAIAAA&#10;ACEBAABkcnMvZTJvRG9jLnhtbFBLBQYAAAAABgAGAFkBAABoBQAAAAA=&#10;">
              <v:fill on="f" focussize="0,0"/>
              <v:stroke on="f"/>
              <v:imagedata o:title=""/>
              <o:lock v:ext="edit" aspectratio="f"/>
              <v:textbox inset="0mm,0mm,0mm,0mm" style="mso-fit-shape-to-text:t;">
                <w:txbxContent>
                  <w:p w14:paraId="2319DAA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YmI0MDAyNTNhZmM5NDNiYjhmM2E1OWU3MTQxZjkifQ=="/>
  </w:docVars>
  <w:rsids>
    <w:rsidRoot w:val="00CA3A16"/>
    <w:rsid w:val="000134AE"/>
    <w:rsid w:val="00013E57"/>
    <w:rsid w:val="000141D6"/>
    <w:rsid w:val="00016772"/>
    <w:rsid w:val="00016CA4"/>
    <w:rsid w:val="0002071E"/>
    <w:rsid w:val="00027082"/>
    <w:rsid w:val="000303AD"/>
    <w:rsid w:val="0003041A"/>
    <w:rsid w:val="00042AC0"/>
    <w:rsid w:val="000474AD"/>
    <w:rsid w:val="00050255"/>
    <w:rsid w:val="00061A6C"/>
    <w:rsid w:val="000622B6"/>
    <w:rsid w:val="00063A9C"/>
    <w:rsid w:val="00063AD5"/>
    <w:rsid w:val="00065CC8"/>
    <w:rsid w:val="00071CAD"/>
    <w:rsid w:val="0008184C"/>
    <w:rsid w:val="000838CD"/>
    <w:rsid w:val="00083ECF"/>
    <w:rsid w:val="00093316"/>
    <w:rsid w:val="00093BC6"/>
    <w:rsid w:val="000955E7"/>
    <w:rsid w:val="00095C7C"/>
    <w:rsid w:val="0009674D"/>
    <w:rsid w:val="000A1B97"/>
    <w:rsid w:val="000A46C7"/>
    <w:rsid w:val="000B1950"/>
    <w:rsid w:val="000B7C44"/>
    <w:rsid w:val="000C0167"/>
    <w:rsid w:val="000C1F4C"/>
    <w:rsid w:val="000C4C08"/>
    <w:rsid w:val="000C6DC4"/>
    <w:rsid w:val="000D0986"/>
    <w:rsid w:val="000D1320"/>
    <w:rsid w:val="000D726B"/>
    <w:rsid w:val="000E4363"/>
    <w:rsid w:val="000E50DB"/>
    <w:rsid w:val="000E59F3"/>
    <w:rsid w:val="000E64EA"/>
    <w:rsid w:val="000F528C"/>
    <w:rsid w:val="000F6073"/>
    <w:rsid w:val="001005D9"/>
    <w:rsid w:val="001031A9"/>
    <w:rsid w:val="00103DB7"/>
    <w:rsid w:val="0011117E"/>
    <w:rsid w:val="00114E01"/>
    <w:rsid w:val="001234FA"/>
    <w:rsid w:val="00124B0A"/>
    <w:rsid w:val="001258E9"/>
    <w:rsid w:val="001266B3"/>
    <w:rsid w:val="001272BE"/>
    <w:rsid w:val="00127D2E"/>
    <w:rsid w:val="001329AD"/>
    <w:rsid w:val="0013424A"/>
    <w:rsid w:val="00137BC5"/>
    <w:rsid w:val="00137D47"/>
    <w:rsid w:val="0014077C"/>
    <w:rsid w:val="0014786A"/>
    <w:rsid w:val="001571BF"/>
    <w:rsid w:val="001618A2"/>
    <w:rsid w:val="00164005"/>
    <w:rsid w:val="0016662B"/>
    <w:rsid w:val="00170E5A"/>
    <w:rsid w:val="0017342D"/>
    <w:rsid w:val="00175E5B"/>
    <w:rsid w:val="00176E69"/>
    <w:rsid w:val="001819C6"/>
    <w:rsid w:val="00182722"/>
    <w:rsid w:val="00185D59"/>
    <w:rsid w:val="00186E9D"/>
    <w:rsid w:val="0019120A"/>
    <w:rsid w:val="001A0706"/>
    <w:rsid w:val="001A6BBD"/>
    <w:rsid w:val="001A70DD"/>
    <w:rsid w:val="001B0240"/>
    <w:rsid w:val="001B1D2C"/>
    <w:rsid w:val="001B1D72"/>
    <w:rsid w:val="001B21A8"/>
    <w:rsid w:val="001B25C1"/>
    <w:rsid w:val="001B2FA4"/>
    <w:rsid w:val="001B680E"/>
    <w:rsid w:val="001B7D37"/>
    <w:rsid w:val="001C2D6B"/>
    <w:rsid w:val="001C7D42"/>
    <w:rsid w:val="001D0820"/>
    <w:rsid w:val="001D4711"/>
    <w:rsid w:val="001D6CDE"/>
    <w:rsid w:val="001D77DB"/>
    <w:rsid w:val="001E476C"/>
    <w:rsid w:val="001E6A5C"/>
    <w:rsid w:val="001F0653"/>
    <w:rsid w:val="001F0ED6"/>
    <w:rsid w:val="001F31E4"/>
    <w:rsid w:val="001F475F"/>
    <w:rsid w:val="001F7E2F"/>
    <w:rsid w:val="00205D4A"/>
    <w:rsid w:val="002061CD"/>
    <w:rsid w:val="0021215B"/>
    <w:rsid w:val="00213A6B"/>
    <w:rsid w:val="002245C5"/>
    <w:rsid w:val="00224E77"/>
    <w:rsid w:val="00231266"/>
    <w:rsid w:val="0023151F"/>
    <w:rsid w:val="0023228B"/>
    <w:rsid w:val="00233B29"/>
    <w:rsid w:val="00235D5E"/>
    <w:rsid w:val="00235F2C"/>
    <w:rsid w:val="00253684"/>
    <w:rsid w:val="0026198A"/>
    <w:rsid w:val="002666AA"/>
    <w:rsid w:val="0027223D"/>
    <w:rsid w:val="002756C2"/>
    <w:rsid w:val="00282296"/>
    <w:rsid w:val="00283BE4"/>
    <w:rsid w:val="00283FFF"/>
    <w:rsid w:val="00290979"/>
    <w:rsid w:val="002922E9"/>
    <w:rsid w:val="00296440"/>
    <w:rsid w:val="00297197"/>
    <w:rsid w:val="002A3AE8"/>
    <w:rsid w:val="002A65E8"/>
    <w:rsid w:val="002B14B7"/>
    <w:rsid w:val="002B1617"/>
    <w:rsid w:val="002B3A73"/>
    <w:rsid w:val="002B446A"/>
    <w:rsid w:val="002B5890"/>
    <w:rsid w:val="002C42C2"/>
    <w:rsid w:val="002C4507"/>
    <w:rsid w:val="002D0BA2"/>
    <w:rsid w:val="002D5793"/>
    <w:rsid w:val="002E072C"/>
    <w:rsid w:val="002E0869"/>
    <w:rsid w:val="002E0CAD"/>
    <w:rsid w:val="002F1B7F"/>
    <w:rsid w:val="0030076C"/>
    <w:rsid w:val="00300F25"/>
    <w:rsid w:val="0030204A"/>
    <w:rsid w:val="0030661F"/>
    <w:rsid w:val="003067E5"/>
    <w:rsid w:val="00310D70"/>
    <w:rsid w:val="003154A1"/>
    <w:rsid w:val="00315EE3"/>
    <w:rsid w:val="003241F0"/>
    <w:rsid w:val="00327AF8"/>
    <w:rsid w:val="00330915"/>
    <w:rsid w:val="0033348E"/>
    <w:rsid w:val="00335F99"/>
    <w:rsid w:val="00336B69"/>
    <w:rsid w:val="00336D36"/>
    <w:rsid w:val="00337286"/>
    <w:rsid w:val="003410BE"/>
    <w:rsid w:val="00343557"/>
    <w:rsid w:val="003500D6"/>
    <w:rsid w:val="00353D5B"/>
    <w:rsid w:val="0035642C"/>
    <w:rsid w:val="003810AA"/>
    <w:rsid w:val="00382AD6"/>
    <w:rsid w:val="00385899"/>
    <w:rsid w:val="0039564C"/>
    <w:rsid w:val="003A0F44"/>
    <w:rsid w:val="003A30F1"/>
    <w:rsid w:val="003B1A8E"/>
    <w:rsid w:val="003B1C99"/>
    <w:rsid w:val="003C24A4"/>
    <w:rsid w:val="003C325E"/>
    <w:rsid w:val="003C38B7"/>
    <w:rsid w:val="003E083C"/>
    <w:rsid w:val="003E1F4E"/>
    <w:rsid w:val="003E2C93"/>
    <w:rsid w:val="003E3FEE"/>
    <w:rsid w:val="003E7241"/>
    <w:rsid w:val="003F4E37"/>
    <w:rsid w:val="00401E7B"/>
    <w:rsid w:val="00413DE3"/>
    <w:rsid w:val="00414A3A"/>
    <w:rsid w:val="004158E4"/>
    <w:rsid w:val="00424040"/>
    <w:rsid w:val="0042671C"/>
    <w:rsid w:val="00427938"/>
    <w:rsid w:val="0043438C"/>
    <w:rsid w:val="00434959"/>
    <w:rsid w:val="00436F26"/>
    <w:rsid w:val="00440034"/>
    <w:rsid w:val="0044293A"/>
    <w:rsid w:val="0044416E"/>
    <w:rsid w:val="004451E7"/>
    <w:rsid w:val="00453CF9"/>
    <w:rsid w:val="004556E8"/>
    <w:rsid w:val="00464120"/>
    <w:rsid w:val="00467060"/>
    <w:rsid w:val="004725EB"/>
    <w:rsid w:val="00482283"/>
    <w:rsid w:val="00484B66"/>
    <w:rsid w:val="004930B3"/>
    <w:rsid w:val="00493F32"/>
    <w:rsid w:val="004A1B92"/>
    <w:rsid w:val="004A369B"/>
    <w:rsid w:val="004A6BCA"/>
    <w:rsid w:val="004C0B30"/>
    <w:rsid w:val="004C1BA5"/>
    <w:rsid w:val="004D2A02"/>
    <w:rsid w:val="004D2BC6"/>
    <w:rsid w:val="004D36F3"/>
    <w:rsid w:val="004E07E6"/>
    <w:rsid w:val="004E0D05"/>
    <w:rsid w:val="004E4CB6"/>
    <w:rsid w:val="004E61D1"/>
    <w:rsid w:val="004E7E69"/>
    <w:rsid w:val="004F0483"/>
    <w:rsid w:val="004F1C6B"/>
    <w:rsid w:val="004F453D"/>
    <w:rsid w:val="004F7CB5"/>
    <w:rsid w:val="005060AB"/>
    <w:rsid w:val="005102C1"/>
    <w:rsid w:val="00516254"/>
    <w:rsid w:val="00523A3B"/>
    <w:rsid w:val="00524CD2"/>
    <w:rsid w:val="00525A81"/>
    <w:rsid w:val="00527900"/>
    <w:rsid w:val="0053129A"/>
    <w:rsid w:val="005323BC"/>
    <w:rsid w:val="00534DE3"/>
    <w:rsid w:val="00537166"/>
    <w:rsid w:val="005422C8"/>
    <w:rsid w:val="00545D40"/>
    <w:rsid w:val="00550721"/>
    <w:rsid w:val="00553921"/>
    <w:rsid w:val="00554E53"/>
    <w:rsid w:val="00555717"/>
    <w:rsid w:val="005627F0"/>
    <w:rsid w:val="00577F93"/>
    <w:rsid w:val="00586E30"/>
    <w:rsid w:val="005A04F5"/>
    <w:rsid w:val="005A2DCB"/>
    <w:rsid w:val="005A6053"/>
    <w:rsid w:val="005A74F4"/>
    <w:rsid w:val="005B20DD"/>
    <w:rsid w:val="005C1AC0"/>
    <w:rsid w:val="005C2D15"/>
    <w:rsid w:val="005C58C0"/>
    <w:rsid w:val="005C5EA7"/>
    <w:rsid w:val="005D1C2A"/>
    <w:rsid w:val="005D35FD"/>
    <w:rsid w:val="005D7477"/>
    <w:rsid w:val="005E0B2B"/>
    <w:rsid w:val="005E13F1"/>
    <w:rsid w:val="005F26ED"/>
    <w:rsid w:val="005F39A2"/>
    <w:rsid w:val="005F55D0"/>
    <w:rsid w:val="005F740A"/>
    <w:rsid w:val="00601D21"/>
    <w:rsid w:val="00602A83"/>
    <w:rsid w:val="006104A2"/>
    <w:rsid w:val="00614E71"/>
    <w:rsid w:val="00616B2C"/>
    <w:rsid w:val="00620DBB"/>
    <w:rsid w:val="00622817"/>
    <w:rsid w:val="00627B01"/>
    <w:rsid w:val="00634DF3"/>
    <w:rsid w:val="00637407"/>
    <w:rsid w:val="00641707"/>
    <w:rsid w:val="006423AD"/>
    <w:rsid w:val="00642F47"/>
    <w:rsid w:val="00650CF0"/>
    <w:rsid w:val="00652EAC"/>
    <w:rsid w:val="006536A4"/>
    <w:rsid w:val="00654EF4"/>
    <w:rsid w:val="00663E4F"/>
    <w:rsid w:val="006709C9"/>
    <w:rsid w:val="00671238"/>
    <w:rsid w:val="006877A7"/>
    <w:rsid w:val="006937AC"/>
    <w:rsid w:val="00694C60"/>
    <w:rsid w:val="0069608C"/>
    <w:rsid w:val="0069650D"/>
    <w:rsid w:val="006975EC"/>
    <w:rsid w:val="006B167B"/>
    <w:rsid w:val="006B68F0"/>
    <w:rsid w:val="006B711D"/>
    <w:rsid w:val="006C2BFF"/>
    <w:rsid w:val="006C38DE"/>
    <w:rsid w:val="006C4413"/>
    <w:rsid w:val="006D288A"/>
    <w:rsid w:val="006D2E75"/>
    <w:rsid w:val="006D3CAA"/>
    <w:rsid w:val="006D78FD"/>
    <w:rsid w:val="006E13DC"/>
    <w:rsid w:val="006E5748"/>
    <w:rsid w:val="006E5AB1"/>
    <w:rsid w:val="006E606D"/>
    <w:rsid w:val="006F162A"/>
    <w:rsid w:val="006F2E02"/>
    <w:rsid w:val="006F6D93"/>
    <w:rsid w:val="00713012"/>
    <w:rsid w:val="00713EEE"/>
    <w:rsid w:val="00714DCD"/>
    <w:rsid w:val="00717277"/>
    <w:rsid w:val="007279A8"/>
    <w:rsid w:val="00731ED0"/>
    <w:rsid w:val="007379D9"/>
    <w:rsid w:val="0074225C"/>
    <w:rsid w:val="00742F6D"/>
    <w:rsid w:val="00742F9D"/>
    <w:rsid w:val="00746682"/>
    <w:rsid w:val="00750347"/>
    <w:rsid w:val="00754E8A"/>
    <w:rsid w:val="00756AB6"/>
    <w:rsid w:val="00775CCD"/>
    <w:rsid w:val="00777D1F"/>
    <w:rsid w:val="007845E8"/>
    <w:rsid w:val="00787915"/>
    <w:rsid w:val="00795003"/>
    <w:rsid w:val="007A6434"/>
    <w:rsid w:val="007A6923"/>
    <w:rsid w:val="007B321F"/>
    <w:rsid w:val="007B6B65"/>
    <w:rsid w:val="007C07C6"/>
    <w:rsid w:val="007C5614"/>
    <w:rsid w:val="007C56BB"/>
    <w:rsid w:val="007D6E6D"/>
    <w:rsid w:val="007E348E"/>
    <w:rsid w:val="007F441D"/>
    <w:rsid w:val="007F740D"/>
    <w:rsid w:val="007F7A12"/>
    <w:rsid w:val="00805C84"/>
    <w:rsid w:val="00806068"/>
    <w:rsid w:val="00815EFD"/>
    <w:rsid w:val="008178C4"/>
    <w:rsid w:val="00817B5A"/>
    <w:rsid w:val="00817E69"/>
    <w:rsid w:val="0082264D"/>
    <w:rsid w:val="008257EF"/>
    <w:rsid w:val="00833B9D"/>
    <w:rsid w:val="00846785"/>
    <w:rsid w:val="00847C0B"/>
    <w:rsid w:val="00853AC5"/>
    <w:rsid w:val="00861707"/>
    <w:rsid w:val="008639A3"/>
    <w:rsid w:val="008639DB"/>
    <w:rsid w:val="00864FF6"/>
    <w:rsid w:val="008659FF"/>
    <w:rsid w:val="0086689B"/>
    <w:rsid w:val="008674C4"/>
    <w:rsid w:val="00867ECC"/>
    <w:rsid w:val="00872C06"/>
    <w:rsid w:val="00874F34"/>
    <w:rsid w:val="0087540B"/>
    <w:rsid w:val="00876D3C"/>
    <w:rsid w:val="00880998"/>
    <w:rsid w:val="00881BE6"/>
    <w:rsid w:val="00883C70"/>
    <w:rsid w:val="0089017A"/>
    <w:rsid w:val="008915E7"/>
    <w:rsid w:val="0089650B"/>
    <w:rsid w:val="0089701A"/>
    <w:rsid w:val="00897E51"/>
    <w:rsid w:val="008A0F9D"/>
    <w:rsid w:val="008B14FE"/>
    <w:rsid w:val="008B2436"/>
    <w:rsid w:val="008B292B"/>
    <w:rsid w:val="008B3526"/>
    <w:rsid w:val="008B4025"/>
    <w:rsid w:val="008B50E2"/>
    <w:rsid w:val="008B6243"/>
    <w:rsid w:val="008B7E7C"/>
    <w:rsid w:val="008C03BA"/>
    <w:rsid w:val="008C0DBD"/>
    <w:rsid w:val="008C52FB"/>
    <w:rsid w:val="008D045F"/>
    <w:rsid w:val="008D2B6F"/>
    <w:rsid w:val="008D2C3C"/>
    <w:rsid w:val="008D4B31"/>
    <w:rsid w:val="008D4F6F"/>
    <w:rsid w:val="008D6DC3"/>
    <w:rsid w:val="008E2396"/>
    <w:rsid w:val="008E7452"/>
    <w:rsid w:val="00902FD2"/>
    <w:rsid w:val="00903312"/>
    <w:rsid w:val="009034A6"/>
    <w:rsid w:val="00906754"/>
    <w:rsid w:val="0091057D"/>
    <w:rsid w:val="00921C4F"/>
    <w:rsid w:val="00926AAF"/>
    <w:rsid w:val="00934682"/>
    <w:rsid w:val="009353D5"/>
    <w:rsid w:val="009366ED"/>
    <w:rsid w:val="00940433"/>
    <w:rsid w:val="00940519"/>
    <w:rsid w:val="00943C10"/>
    <w:rsid w:val="00946097"/>
    <w:rsid w:val="00952852"/>
    <w:rsid w:val="009566C4"/>
    <w:rsid w:val="009605A9"/>
    <w:rsid w:val="00970312"/>
    <w:rsid w:val="00970FC4"/>
    <w:rsid w:val="00974948"/>
    <w:rsid w:val="00975EDA"/>
    <w:rsid w:val="00976A33"/>
    <w:rsid w:val="00980406"/>
    <w:rsid w:val="00982F1B"/>
    <w:rsid w:val="00985932"/>
    <w:rsid w:val="009A10CC"/>
    <w:rsid w:val="009A15F7"/>
    <w:rsid w:val="009A38C9"/>
    <w:rsid w:val="009B4412"/>
    <w:rsid w:val="009B45B4"/>
    <w:rsid w:val="009C20CB"/>
    <w:rsid w:val="009D2E8C"/>
    <w:rsid w:val="009D4F90"/>
    <w:rsid w:val="009E0871"/>
    <w:rsid w:val="009E344F"/>
    <w:rsid w:val="009F1801"/>
    <w:rsid w:val="009F62A6"/>
    <w:rsid w:val="00A0210A"/>
    <w:rsid w:val="00A030A7"/>
    <w:rsid w:val="00A0472F"/>
    <w:rsid w:val="00A04E27"/>
    <w:rsid w:val="00A159C7"/>
    <w:rsid w:val="00A15FAC"/>
    <w:rsid w:val="00A16F10"/>
    <w:rsid w:val="00A22100"/>
    <w:rsid w:val="00A22C24"/>
    <w:rsid w:val="00A22D38"/>
    <w:rsid w:val="00A23FC6"/>
    <w:rsid w:val="00A24130"/>
    <w:rsid w:val="00A2529B"/>
    <w:rsid w:val="00A25E47"/>
    <w:rsid w:val="00A26793"/>
    <w:rsid w:val="00A30B6B"/>
    <w:rsid w:val="00A33508"/>
    <w:rsid w:val="00A34A24"/>
    <w:rsid w:val="00A40E79"/>
    <w:rsid w:val="00A456DD"/>
    <w:rsid w:val="00A503ED"/>
    <w:rsid w:val="00A53F6A"/>
    <w:rsid w:val="00A55BED"/>
    <w:rsid w:val="00A60A7B"/>
    <w:rsid w:val="00A62CDC"/>
    <w:rsid w:val="00A6598A"/>
    <w:rsid w:val="00A6679B"/>
    <w:rsid w:val="00A66BE6"/>
    <w:rsid w:val="00A74E13"/>
    <w:rsid w:val="00A7526C"/>
    <w:rsid w:val="00A75719"/>
    <w:rsid w:val="00A776B8"/>
    <w:rsid w:val="00A807E0"/>
    <w:rsid w:val="00A82BDF"/>
    <w:rsid w:val="00A8342F"/>
    <w:rsid w:val="00A83B27"/>
    <w:rsid w:val="00A849AB"/>
    <w:rsid w:val="00A904C7"/>
    <w:rsid w:val="00A948E8"/>
    <w:rsid w:val="00A95078"/>
    <w:rsid w:val="00AA2BC0"/>
    <w:rsid w:val="00AA508C"/>
    <w:rsid w:val="00AA778A"/>
    <w:rsid w:val="00AA7955"/>
    <w:rsid w:val="00AB3530"/>
    <w:rsid w:val="00AB512B"/>
    <w:rsid w:val="00AC019E"/>
    <w:rsid w:val="00AC486E"/>
    <w:rsid w:val="00AD7E74"/>
    <w:rsid w:val="00AE0A8E"/>
    <w:rsid w:val="00AF0516"/>
    <w:rsid w:val="00AF3FD2"/>
    <w:rsid w:val="00AF62CA"/>
    <w:rsid w:val="00B14C0D"/>
    <w:rsid w:val="00B17477"/>
    <w:rsid w:val="00B176C3"/>
    <w:rsid w:val="00B21FED"/>
    <w:rsid w:val="00B223C6"/>
    <w:rsid w:val="00B231D4"/>
    <w:rsid w:val="00B37F29"/>
    <w:rsid w:val="00B42570"/>
    <w:rsid w:val="00B502F3"/>
    <w:rsid w:val="00B50654"/>
    <w:rsid w:val="00B5097B"/>
    <w:rsid w:val="00B5235B"/>
    <w:rsid w:val="00B644A4"/>
    <w:rsid w:val="00B66B6D"/>
    <w:rsid w:val="00B6747B"/>
    <w:rsid w:val="00B70623"/>
    <w:rsid w:val="00B715E7"/>
    <w:rsid w:val="00B74B4C"/>
    <w:rsid w:val="00B8322E"/>
    <w:rsid w:val="00BB16AC"/>
    <w:rsid w:val="00BB6ABB"/>
    <w:rsid w:val="00BC413D"/>
    <w:rsid w:val="00BC7E11"/>
    <w:rsid w:val="00BD1109"/>
    <w:rsid w:val="00BD264D"/>
    <w:rsid w:val="00BD5D75"/>
    <w:rsid w:val="00BD78F7"/>
    <w:rsid w:val="00BD7C06"/>
    <w:rsid w:val="00BE2004"/>
    <w:rsid w:val="00BF1267"/>
    <w:rsid w:val="00BF4C41"/>
    <w:rsid w:val="00BF5079"/>
    <w:rsid w:val="00BF78BC"/>
    <w:rsid w:val="00C069A1"/>
    <w:rsid w:val="00C22EDB"/>
    <w:rsid w:val="00C23360"/>
    <w:rsid w:val="00C3022A"/>
    <w:rsid w:val="00C371C1"/>
    <w:rsid w:val="00C40A12"/>
    <w:rsid w:val="00C43459"/>
    <w:rsid w:val="00C44EB4"/>
    <w:rsid w:val="00C509C3"/>
    <w:rsid w:val="00C5287C"/>
    <w:rsid w:val="00C53061"/>
    <w:rsid w:val="00C538DD"/>
    <w:rsid w:val="00C54AE4"/>
    <w:rsid w:val="00C579DE"/>
    <w:rsid w:val="00C61020"/>
    <w:rsid w:val="00C63698"/>
    <w:rsid w:val="00C66011"/>
    <w:rsid w:val="00C72E6A"/>
    <w:rsid w:val="00C7572D"/>
    <w:rsid w:val="00C7597B"/>
    <w:rsid w:val="00C7704A"/>
    <w:rsid w:val="00C77156"/>
    <w:rsid w:val="00C861C8"/>
    <w:rsid w:val="00C87125"/>
    <w:rsid w:val="00C91756"/>
    <w:rsid w:val="00C91F01"/>
    <w:rsid w:val="00C921A2"/>
    <w:rsid w:val="00C93B95"/>
    <w:rsid w:val="00C93DE0"/>
    <w:rsid w:val="00CA052B"/>
    <w:rsid w:val="00CA2187"/>
    <w:rsid w:val="00CA3A16"/>
    <w:rsid w:val="00CB1D6F"/>
    <w:rsid w:val="00CB45F8"/>
    <w:rsid w:val="00CB78C4"/>
    <w:rsid w:val="00CB7B2C"/>
    <w:rsid w:val="00CC0040"/>
    <w:rsid w:val="00CC2E07"/>
    <w:rsid w:val="00CC5C4E"/>
    <w:rsid w:val="00CC6A71"/>
    <w:rsid w:val="00CD6CEF"/>
    <w:rsid w:val="00CE1CF7"/>
    <w:rsid w:val="00CE28CE"/>
    <w:rsid w:val="00CE683F"/>
    <w:rsid w:val="00CF04B7"/>
    <w:rsid w:val="00CF232A"/>
    <w:rsid w:val="00CF5221"/>
    <w:rsid w:val="00D0114A"/>
    <w:rsid w:val="00D01832"/>
    <w:rsid w:val="00D02341"/>
    <w:rsid w:val="00D064E1"/>
    <w:rsid w:val="00D11027"/>
    <w:rsid w:val="00D11554"/>
    <w:rsid w:val="00D16E5E"/>
    <w:rsid w:val="00D17C5B"/>
    <w:rsid w:val="00D2477D"/>
    <w:rsid w:val="00D27558"/>
    <w:rsid w:val="00D31F0F"/>
    <w:rsid w:val="00D366EF"/>
    <w:rsid w:val="00D46DD0"/>
    <w:rsid w:val="00D5758B"/>
    <w:rsid w:val="00D60D31"/>
    <w:rsid w:val="00D61798"/>
    <w:rsid w:val="00D651C8"/>
    <w:rsid w:val="00D6585B"/>
    <w:rsid w:val="00D708EB"/>
    <w:rsid w:val="00D71385"/>
    <w:rsid w:val="00D7234D"/>
    <w:rsid w:val="00D72511"/>
    <w:rsid w:val="00D80A63"/>
    <w:rsid w:val="00D815E9"/>
    <w:rsid w:val="00D85A93"/>
    <w:rsid w:val="00D85B51"/>
    <w:rsid w:val="00D863BB"/>
    <w:rsid w:val="00D9120C"/>
    <w:rsid w:val="00D962CC"/>
    <w:rsid w:val="00DA675E"/>
    <w:rsid w:val="00DA679F"/>
    <w:rsid w:val="00DB393B"/>
    <w:rsid w:val="00DB7280"/>
    <w:rsid w:val="00DB7F97"/>
    <w:rsid w:val="00DC069D"/>
    <w:rsid w:val="00DC41C8"/>
    <w:rsid w:val="00DC425F"/>
    <w:rsid w:val="00DD269A"/>
    <w:rsid w:val="00DD315A"/>
    <w:rsid w:val="00DD33BE"/>
    <w:rsid w:val="00DD3580"/>
    <w:rsid w:val="00DD67B2"/>
    <w:rsid w:val="00DD6ADD"/>
    <w:rsid w:val="00DD6E1D"/>
    <w:rsid w:val="00DD748C"/>
    <w:rsid w:val="00DE3751"/>
    <w:rsid w:val="00DE7D52"/>
    <w:rsid w:val="00DF0916"/>
    <w:rsid w:val="00DF1454"/>
    <w:rsid w:val="00DF4420"/>
    <w:rsid w:val="00DF52DA"/>
    <w:rsid w:val="00E02B07"/>
    <w:rsid w:val="00E043EF"/>
    <w:rsid w:val="00E1052D"/>
    <w:rsid w:val="00E24FE4"/>
    <w:rsid w:val="00E27ADE"/>
    <w:rsid w:val="00E27B98"/>
    <w:rsid w:val="00E31D2E"/>
    <w:rsid w:val="00E33D99"/>
    <w:rsid w:val="00E4528F"/>
    <w:rsid w:val="00E45A46"/>
    <w:rsid w:val="00E46CB2"/>
    <w:rsid w:val="00E501FF"/>
    <w:rsid w:val="00E50D91"/>
    <w:rsid w:val="00E5277F"/>
    <w:rsid w:val="00E60F04"/>
    <w:rsid w:val="00E70492"/>
    <w:rsid w:val="00E76900"/>
    <w:rsid w:val="00E91269"/>
    <w:rsid w:val="00E91FC9"/>
    <w:rsid w:val="00E946B6"/>
    <w:rsid w:val="00E96E59"/>
    <w:rsid w:val="00E96FF2"/>
    <w:rsid w:val="00E97DA6"/>
    <w:rsid w:val="00EA0912"/>
    <w:rsid w:val="00EA102B"/>
    <w:rsid w:val="00EA1106"/>
    <w:rsid w:val="00EA1CEA"/>
    <w:rsid w:val="00EB16BC"/>
    <w:rsid w:val="00EB546B"/>
    <w:rsid w:val="00EB5BDF"/>
    <w:rsid w:val="00EC159B"/>
    <w:rsid w:val="00EC5825"/>
    <w:rsid w:val="00EC7565"/>
    <w:rsid w:val="00ED19A0"/>
    <w:rsid w:val="00ED66A9"/>
    <w:rsid w:val="00EE114C"/>
    <w:rsid w:val="00EE1D81"/>
    <w:rsid w:val="00EE218F"/>
    <w:rsid w:val="00EE38D0"/>
    <w:rsid w:val="00EE421E"/>
    <w:rsid w:val="00EE59C4"/>
    <w:rsid w:val="00EE6A47"/>
    <w:rsid w:val="00EF4FE6"/>
    <w:rsid w:val="00F00DFB"/>
    <w:rsid w:val="00F04A14"/>
    <w:rsid w:val="00F0732D"/>
    <w:rsid w:val="00F12569"/>
    <w:rsid w:val="00F14DE4"/>
    <w:rsid w:val="00F2205F"/>
    <w:rsid w:val="00F225B5"/>
    <w:rsid w:val="00F23E53"/>
    <w:rsid w:val="00F2547D"/>
    <w:rsid w:val="00F25E9F"/>
    <w:rsid w:val="00F3275E"/>
    <w:rsid w:val="00F33509"/>
    <w:rsid w:val="00F41D69"/>
    <w:rsid w:val="00F426D3"/>
    <w:rsid w:val="00F47381"/>
    <w:rsid w:val="00F503AC"/>
    <w:rsid w:val="00F50727"/>
    <w:rsid w:val="00F51527"/>
    <w:rsid w:val="00F51DA1"/>
    <w:rsid w:val="00F51F57"/>
    <w:rsid w:val="00F73179"/>
    <w:rsid w:val="00F77F34"/>
    <w:rsid w:val="00F81B0B"/>
    <w:rsid w:val="00F81C85"/>
    <w:rsid w:val="00F94C76"/>
    <w:rsid w:val="00FA12EC"/>
    <w:rsid w:val="00FA70EB"/>
    <w:rsid w:val="00FB5F9B"/>
    <w:rsid w:val="00FB6C7F"/>
    <w:rsid w:val="00FC02B3"/>
    <w:rsid w:val="00FC6BAC"/>
    <w:rsid w:val="00FD5A91"/>
    <w:rsid w:val="00FE08B8"/>
    <w:rsid w:val="00FF3B7D"/>
    <w:rsid w:val="00FF5BC8"/>
    <w:rsid w:val="01EF1657"/>
    <w:rsid w:val="01F2610C"/>
    <w:rsid w:val="0214526F"/>
    <w:rsid w:val="023C1BF0"/>
    <w:rsid w:val="0268625C"/>
    <w:rsid w:val="02AD6311"/>
    <w:rsid w:val="02CF26E4"/>
    <w:rsid w:val="02E226FB"/>
    <w:rsid w:val="02E324CB"/>
    <w:rsid w:val="03B34F1C"/>
    <w:rsid w:val="03EB15DD"/>
    <w:rsid w:val="04405650"/>
    <w:rsid w:val="04B431B1"/>
    <w:rsid w:val="060D0DBE"/>
    <w:rsid w:val="06296C66"/>
    <w:rsid w:val="07114647"/>
    <w:rsid w:val="07456CFC"/>
    <w:rsid w:val="07930145"/>
    <w:rsid w:val="07DB1ED1"/>
    <w:rsid w:val="08A52E38"/>
    <w:rsid w:val="08E82B16"/>
    <w:rsid w:val="09487136"/>
    <w:rsid w:val="097574D8"/>
    <w:rsid w:val="09F922B8"/>
    <w:rsid w:val="0A582F13"/>
    <w:rsid w:val="0AB94B2B"/>
    <w:rsid w:val="0AD53F20"/>
    <w:rsid w:val="0C42075F"/>
    <w:rsid w:val="0C9537CF"/>
    <w:rsid w:val="0DAB634A"/>
    <w:rsid w:val="0DC90C64"/>
    <w:rsid w:val="0EFC1000"/>
    <w:rsid w:val="0F2A3659"/>
    <w:rsid w:val="0FB22B35"/>
    <w:rsid w:val="10791EDC"/>
    <w:rsid w:val="11914792"/>
    <w:rsid w:val="1193258B"/>
    <w:rsid w:val="119709F5"/>
    <w:rsid w:val="11B67B51"/>
    <w:rsid w:val="11D50F5D"/>
    <w:rsid w:val="127C59E8"/>
    <w:rsid w:val="12903F91"/>
    <w:rsid w:val="138E7B7A"/>
    <w:rsid w:val="13CE7934"/>
    <w:rsid w:val="149D41F0"/>
    <w:rsid w:val="14FD6CE4"/>
    <w:rsid w:val="155E2E9F"/>
    <w:rsid w:val="15714F96"/>
    <w:rsid w:val="1600008C"/>
    <w:rsid w:val="164125A5"/>
    <w:rsid w:val="16461508"/>
    <w:rsid w:val="165F5215"/>
    <w:rsid w:val="17DB48A0"/>
    <w:rsid w:val="187327BD"/>
    <w:rsid w:val="18D47579"/>
    <w:rsid w:val="18DC4FBF"/>
    <w:rsid w:val="190306EA"/>
    <w:rsid w:val="197E3A22"/>
    <w:rsid w:val="198B3B37"/>
    <w:rsid w:val="199D3F96"/>
    <w:rsid w:val="19A24DE4"/>
    <w:rsid w:val="1A1E49AB"/>
    <w:rsid w:val="1A92745F"/>
    <w:rsid w:val="1B3A2CA8"/>
    <w:rsid w:val="1B6D54B7"/>
    <w:rsid w:val="1C03388B"/>
    <w:rsid w:val="1C611A5A"/>
    <w:rsid w:val="1CE71768"/>
    <w:rsid w:val="1D715A06"/>
    <w:rsid w:val="1DAF1732"/>
    <w:rsid w:val="1DFE6512"/>
    <w:rsid w:val="1E410C70"/>
    <w:rsid w:val="1E886A72"/>
    <w:rsid w:val="1F926C66"/>
    <w:rsid w:val="1FC87893"/>
    <w:rsid w:val="203A6F2C"/>
    <w:rsid w:val="20D11DC7"/>
    <w:rsid w:val="2107136B"/>
    <w:rsid w:val="21CD6AB5"/>
    <w:rsid w:val="225B71D0"/>
    <w:rsid w:val="226678D9"/>
    <w:rsid w:val="242714D3"/>
    <w:rsid w:val="248C709C"/>
    <w:rsid w:val="249C2A5E"/>
    <w:rsid w:val="2590170F"/>
    <w:rsid w:val="25CD384E"/>
    <w:rsid w:val="261C3100"/>
    <w:rsid w:val="261D7664"/>
    <w:rsid w:val="26765D22"/>
    <w:rsid w:val="269A2731"/>
    <w:rsid w:val="278A128A"/>
    <w:rsid w:val="27913507"/>
    <w:rsid w:val="2814263E"/>
    <w:rsid w:val="28187E9E"/>
    <w:rsid w:val="28654F9C"/>
    <w:rsid w:val="28C9134E"/>
    <w:rsid w:val="2A5C4587"/>
    <w:rsid w:val="2AB93EDB"/>
    <w:rsid w:val="2B93778A"/>
    <w:rsid w:val="2BB22C87"/>
    <w:rsid w:val="2BFA0DD4"/>
    <w:rsid w:val="2C5F50DB"/>
    <w:rsid w:val="2C921FCF"/>
    <w:rsid w:val="2CF40BEF"/>
    <w:rsid w:val="2D146264"/>
    <w:rsid w:val="2D2D342B"/>
    <w:rsid w:val="2D3D3232"/>
    <w:rsid w:val="2D4831F5"/>
    <w:rsid w:val="2E3B6764"/>
    <w:rsid w:val="2FCC2119"/>
    <w:rsid w:val="30876895"/>
    <w:rsid w:val="30B976E9"/>
    <w:rsid w:val="31075AEB"/>
    <w:rsid w:val="311E304C"/>
    <w:rsid w:val="32B440F3"/>
    <w:rsid w:val="32E70004"/>
    <w:rsid w:val="3353293C"/>
    <w:rsid w:val="34065580"/>
    <w:rsid w:val="34171B12"/>
    <w:rsid w:val="341859E6"/>
    <w:rsid w:val="34684D49"/>
    <w:rsid w:val="3509370A"/>
    <w:rsid w:val="358B6243"/>
    <w:rsid w:val="36265082"/>
    <w:rsid w:val="36433543"/>
    <w:rsid w:val="3692514E"/>
    <w:rsid w:val="373873CF"/>
    <w:rsid w:val="380973EF"/>
    <w:rsid w:val="39235170"/>
    <w:rsid w:val="3AA100F5"/>
    <w:rsid w:val="3AB65024"/>
    <w:rsid w:val="3C814171"/>
    <w:rsid w:val="3CA1489E"/>
    <w:rsid w:val="3CA6751B"/>
    <w:rsid w:val="3CAA7142"/>
    <w:rsid w:val="3CAD6BFA"/>
    <w:rsid w:val="3D174CF8"/>
    <w:rsid w:val="3D4A6836"/>
    <w:rsid w:val="3D5926B2"/>
    <w:rsid w:val="3D701371"/>
    <w:rsid w:val="3E03620E"/>
    <w:rsid w:val="3E2B03B9"/>
    <w:rsid w:val="3E573E64"/>
    <w:rsid w:val="3E5F71BC"/>
    <w:rsid w:val="3ECA276D"/>
    <w:rsid w:val="3FDA1F1D"/>
    <w:rsid w:val="40646D0C"/>
    <w:rsid w:val="40983891"/>
    <w:rsid w:val="41A43864"/>
    <w:rsid w:val="41A56C30"/>
    <w:rsid w:val="42340AEF"/>
    <w:rsid w:val="42B43C54"/>
    <w:rsid w:val="43F716AF"/>
    <w:rsid w:val="44135CA4"/>
    <w:rsid w:val="450C528F"/>
    <w:rsid w:val="45830A4E"/>
    <w:rsid w:val="45F20916"/>
    <w:rsid w:val="46286D60"/>
    <w:rsid w:val="46F274E6"/>
    <w:rsid w:val="47240519"/>
    <w:rsid w:val="47C441CA"/>
    <w:rsid w:val="486311F7"/>
    <w:rsid w:val="486B5633"/>
    <w:rsid w:val="48C54D89"/>
    <w:rsid w:val="49380D36"/>
    <w:rsid w:val="4A671659"/>
    <w:rsid w:val="4BCD3959"/>
    <w:rsid w:val="4D667BAF"/>
    <w:rsid w:val="4DA024BE"/>
    <w:rsid w:val="4DA521E5"/>
    <w:rsid w:val="4DB85792"/>
    <w:rsid w:val="4DB86B62"/>
    <w:rsid w:val="4DF53699"/>
    <w:rsid w:val="4E386E7B"/>
    <w:rsid w:val="4EC918D2"/>
    <w:rsid w:val="4F855281"/>
    <w:rsid w:val="50733EB8"/>
    <w:rsid w:val="52203DE5"/>
    <w:rsid w:val="52AF3FC8"/>
    <w:rsid w:val="53564D9D"/>
    <w:rsid w:val="546F4A33"/>
    <w:rsid w:val="549A413E"/>
    <w:rsid w:val="54DA2905"/>
    <w:rsid w:val="54EC7875"/>
    <w:rsid w:val="54FD31CF"/>
    <w:rsid w:val="57153B45"/>
    <w:rsid w:val="572F44F5"/>
    <w:rsid w:val="576F2D86"/>
    <w:rsid w:val="581F6403"/>
    <w:rsid w:val="58F61AC2"/>
    <w:rsid w:val="591150F1"/>
    <w:rsid w:val="594433C0"/>
    <w:rsid w:val="5AAA10A0"/>
    <w:rsid w:val="5AAB40A6"/>
    <w:rsid w:val="5B470530"/>
    <w:rsid w:val="5C061E29"/>
    <w:rsid w:val="5C967DF5"/>
    <w:rsid w:val="5C976E58"/>
    <w:rsid w:val="5D467388"/>
    <w:rsid w:val="5FEE1BA7"/>
    <w:rsid w:val="60E857A7"/>
    <w:rsid w:val="61437B7E"/>
    <w:rsid w:val="61E23A6F"/>
    <w:rsid w:val="62412F49"/>
    <w:rsid w:val="624553E4"/>
    <w:rsid w:val="62646A94"/>
    <w:rsid w:val="6276429E"/>
    <w:rsid w:val="627B2C21"/>
    <w:rsid w:val="62CD3727"/>
    <w:rsid w:val="62F4026E"/>
    <w:rsid w:val="635051A2"/>
    <w:rsid w:val="6441427C"/>
    <w:rsid w:val="65561D37"/>
    <w:rsid w:val="663C2940"/>
    <w:rsid w:val="66533E3C"/>
    <w:rsid w:val="670133A7"/>
    <w:rsid w:val="67306069"/>
    <w:rsid w:val="67587B68"/>
    <w:rsid w:val="67C3728A"/>
    <w:rsid w:val="67EB36EB"/>
    <w:rsid w:val="682732A7"/>
    <w:rsid w:val="690D1140"/>
    <w:rsid w:val="6ABB6D6B"/>
    <w:rsid w:val="6AF56335"/>
    <w:rsid w:val="6B241F3D"/>
    <w:rsid w:val="6B8A782C"/>
    <w:rsid w:val="6B8A7FA4"/>
    <w:rsid w:val="6B8F65E5"/>
    <w:rsid w:val="6BE172C8"/>
    <w:rsid w:val="6C5D623A"/>
    <w:rsid w:val="6EB73D1C"/>
    <w:rsid w:val="6F47575B"/>
    <w:rsid w:val="6F535ACE"/>
    <w:rsid w:val="6FC34AA6"/>
    <w:rsid w:val="6FE76DC4"/>
    <w:rsid w:val="724A7762"/>
    <w:rsid w:val="72931D35"/>
    <w:rsid w:val="73247101"/>
    <w:rsid w:val="74225F9B"/>
    <w:rsid w:val="746F7336"/>
    <w:rsid w:val="747852FC"/>
    <w:rsid w:val="74C57072"/>
    <w:rsid w:val="74EE65C9"/>
    <w:rsid w:val="75A53AB5"/>
    <w:rsid w:val="76224381"/>
    <w:rsid w:val="77063A83"/>
    <w:rsid w:val="7736042C"/>
    <w:rsid w:val="77EC41DA"/>
    <w:rsid w:val="785B6B77"/>
    <w:rsid w:val="78F44A71"/>
    <w:rsid w:val="790338DF"/>
    <w:rsid w:val="7A595755"/>
    <w:rsid w:val="7A786F64"/>
    <w:rsid w:val="7BC57E42"/>
    <w:rsid w:val="7D175C20"/>
    <w:rsid w:val="7D26651D"/>
    <w:rsid w:val="7D89205F"/>
    <w:rsid w:val="7DB31DBC"/>
    <w:rsid w:val="7DEF5723"/>
    <w:rsid w:val="7EA87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autoRedefine/>
    <w:qFormat/>
    <w:locked/>
    <w:uiPriority w:val="99"/>
    <w:pPr>
      <w:keepNext/>
      <w:keepLines/>
      <w:spacing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17"/>
    <w:autoRedefine/>
    <w:unhideWhenUsed/>
    <w:qFormat/>
    <w:uiPriority w:val="99"/>
    <w:rPr>
      <w:rFonts w:ascii="宋体"/>
      <w:sz w:val="18"/>
      <w:szCs w:val="18"/>
    </w:rPr>
  </w:style>
  <w:style w:type="paragraph" w:styleId="4">
    <w:name w:val="annotation text"/>
    <w:basedOn w:val="1"/>
    <w:link w:val="18"/>
    <w:autoRedefine/>
    <w:semiHidden/>
    <w:qFormat/>
    <w:uiPriority w:val="99"/>
    <w:pPr>
      <w:jc w:val="left"/>
    </w:pPr>
  </w:style>
  <w:style w:type="paragraph" w:styleId="5">
    <w:name w:val="Balloon Text"/>
    <w:basedOn w:val="1"/>
    <w:link w:val="19"/>
    <w:autoRedefine/>
    <w:semiHidden/>
    <w:qFormat/>
    <w:uiPriority w:val="99"/>
    <w:rPr>
      <w:sz w:val="18"/>
      <w:szCs w:val="18"/>
    </w:rPr>
  </w:style>
  <w:style w:type="paragraph" w:styleId="6">
    <w:name w:val="footer"/>
    <w:basedOn w:val="1"/>
    <w:link w:val="20"/>
    <w:autoRedefine/>
    <w:qFormat/>
    <w:uiPriority w:val="99"/>
    <w:pPr>
      <w:tabs>
        <w:tab w:val="center" w:pos="4153"/>
        <w:tab w:val="right" w:pos="8306"/>
      </w:tabs>
      <w:snapToGrid w:val="0"/>
      <w:jc w:val="left"/>
    </w:pPr>
    <w:rPr>
      <w:sz w:val="18"/>
      <w:szCs w:val="18"/>
    </w:rPr>
  </w:style>
  <w:style w:type="paragraph" w:styleId="7">
    <w:name w:val="header"/>
    <w:basedOn w:val="1"/>
    <w:link w:val="2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locked/>
    <w:uiPriority w:val="39"/>
  </w:style>
  <w:style w:type="paragraph" w:styleId="9">
    <w:name w:val="toc 2"/>
    <w:basedOn w:val="1"/>
    <w:next w:val="1"/>
    <w:autoRedefine/>
    <w:qFormat/>
    <w:locked/>
    <w:uiPriority w:val="39"/>
    <w:pPr>
      <w:ind w:left="420" w:leftChars="200"/>
    </w:p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2"/>
    <w:autoRedefine/>
    <w:unhideWhenUsed/>
    <w:qFormat/>
    <w:uiPriority w:val="99"/>
    <w:rPr>
      <w:b/>
      <w:bCs/>
    </w:rPr>
  </w:style>
  <w:style w:type="character" w:styleId="14">
    <w:name w:val="Hyperlink"/>
    <w:basedOn w:val="13"/>
    <w:autoRedefine/>
    <w:qFormat/>
    <w:uiPriority w:val="99"/>
    <w:rPr>
      <w:rFonts w:cs="Times New Roman"/>
      <w:color w:val="0000FF"/>
      <w:u w:val="single"/>
    </w:rPr>
  </w:style>
  <w:style w:type="character" w:styleId="15">
    <w:name w:val="annotation reference"/>
    <w:basedOn w:val="13"/>
    <w:autoRedefine/>
    <w:semiHidden/>
    <w:qFormat/>
    <w:uiPriority w:val="99"/>
    <w:rPr>
      <w:rFonts w:cs="Times New Roman"/>
      <w:sz w:val="21"/>
      <w:szCs w:val="21"/>
    </w:rPr>
  </w:style>
  <w:style w:type="character" w:customStyle="1" w:styleId="16">
    <w:name w:val="标题 1 Char"/>
    <w:basedOn w:val="13"/>
    <w:link w:val="2"/>
    <w:autoRedefine/>
    <w:qFormat/>
    <w:locked/>
    <w:uiPriority w:val="99"/>
    <w:rPr>
      <w:rFonts w:ascii="Calibri" w:hAnsi="Calibri" w:cs="Times New Roman"/>
      <w:b/>
      <w:bCs/>
      <w:kern w:val="44"/>
      <w:sz w:val="44"/>
      <w:szCs w:val="44"/>
    </w:rPr>
  </w:style>
  <w:style w:type="character" w:customStyle="1" w:styleId="17">
    <w:name w:val="文档结构图 Char"/>
    <w:basedOn w:val="13"/>
    <w:link w:val="3"/>
    <w:autoRedefine/>
    <w:semiHidden/>
    <w:qFormat/>
    <w:uiPriority w:val="99"/>
    <w:rPr>
      <w:rFonts w:ascii="宋体" w:hAnsi="Calibri"/>
      <w:kern w:val="2"/>
      <w:sz w:val="18"/>
      <w:szCs w:val="18"/>
    </w:rPr>
  </w:style>
  <w:style w:type="character" w:customStyle="1" w:styleId="18">
    <w:name w:val="批注文字 Char"/>
    <w:basedOn w:val="13"/>
    <w:link w:val="4"/>
    <w:autoRedefine/>
    <w:semiHidden/>
    <w:qFormat/>
    <w:locked/>
    <w:uiPriority w:val="99"/>
    <w:rPr>
      <w:rFonts w:ascii="Calibri" w:hAnsi="Calibri" w:cs="Times New Roman"/>
    </w:rPr>
  </w:style>
  <w:style w:type="character" w:customStyle="1" w:styleId="19">
    <w:name w:val="批注框文本 Char"/>
    <w:basedOn w:val="13"/>
    <w:link w:val="5"/>
    <w:autoRedefine/>
    <w:semiHidden/>
    <w:qFormat/>
    <w:locked/>
    <w:uiPriority w:val="99"/>
    <w:rPr>
      <w:rFonts w:ascii="Calibri" w:hAnsi="Calibri" w:cs="Times New Roman"/>
      <w:sz w:val="2"/>
    </w:rPr>
  </w:style>
  <w:style w:type="character" w:customStyle="1" w:styleId="20">
    <w:name w:val="页脚 Char"/>
    <w:basedOn w:val="13"/>
    <w:link w:val="6"/>
    <w:autoRedefine/>
    <w:qFormat/>
    <w:locked/>
    <w:uiPriority w:val="99"/>
    <w:rPr>
      <w:rFonts w:cs="Times New Roman"/>
      <w:sz w:val="18"/>
      <w:szCs w:val="18"/>
    </w:rPr>
  </w:style>
  <w:style w:type="character" w:customStyle="1" w:styleId="21">
    <w:name w:val="页眉 Char"/>
    <w:basedOn w:val="13"/>
    <w:link w:val="7"/>
    <w:autoRedefine/>
    <w:semiHidden/>
    <w:qFormat/>
    <w:locked/>
    <w:uiPriority w:val="99"/>
    <w:rPr>
      <w:rFonts w:cs="Times New Roman"/>
      <w:sz w:val="18"/>
      <w:szCs w:val="18"/>
    </w:rPr>
  </w:style>
  <w:style w:type="character" w:customStyle="1" w:styleId="22">
    <w:name w:val="批注主题 Char"/>
    <w:basedOn w:val="18"/>
    <w:link w:val="11"/>
    <w:autoRedefine/>
    <w:semiHidden/>
    <w:qFormat/>
    <w:uiPriority w:val="99"/>
    <w:rPr>
      <w:b/>
      <w:bCs/>
      <w:kern w:val="2"/>
      <w:sz w:val="21"/>
      <w:szCs w:val="22"/>
    </w:rPr>
  </w:style>
  <w:style w:type="paragraph" w:customStyle="1" w:styleId="23">
    <w:name w:val="WPSOffice手动目录 1"/>
    <w:autoRedefine/>
    <w:qFormat/>
    <w:uiPriority w:val="99"/>
    <w:rPr>
      <w:rFonts w:ascii="Times New Roman" w:hAnsi="Times New Roman" w:eastAsia="宋体" w:cs="Times New Roman"/>
      <w:lang w:val="en-US" w:eastAsia="zh-CN" w:bidi="ar-SA"/>
    </w:rPr>
  </w:style>
  <w:style w:type="paragraph" w:customStyle="1" w:styleId="24">
    <w:name w:val="WPSOffice手动目录 2"/>
    <w:autoRedefine/>
    <w:qFormat/>
    <w:uiPriority w:val="99"/>
    <w:pPr>
      <w:ind w:left="200" w:leftChars="200"/>
    </w:pPr>
    <w:rPr>
      <w:rFonts w:ascii="Times New Roman" w:hAnsi="Times New Roman" w:eastAsia="宋体" w:cs="Times New Roman"/>
      <w:lang w:val="en-US" w:eastAsia="zh-CN" w:bidi="ar-SA"/>
    </w:rPr>
  </w:style>
  <w:style w:type="paragraph" w:customStyle="1" w:styleId="25">
    <w:name w:val="WPSOffice手动目录 3"/>
    <w:autoRedefine/>
    <w:qFormat/>
    <w:uiPriority w:val="99"/>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6658</Words>
  <Characters>6911</Characters>
  <Lines>66</Lines>
  <Paragraphs>18</Paragraphs>
  <TotalTime>62</TotalTime>
  <ScaleCrop>false</ScaleCrop>
  <LinksUpToDate>false</LinksUpToDate>
  <CharactersWithSpaces>6924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2022-04-26T03:26:00Z</dcterms:created>
  <dc:creator>dell</dc:creator>
  <cp:lastModifiedBy>小小小嬅</cp:lastModifiedBy>
  <cp:lastPrinted>2023-04-21T07:37:00Z</cp:lastPrinted>
  <dcterms:modified xsi:type="dcterms:W3CDTF">2025-03-14T08:04:14Z</dcterms:modified>
  <dc:title>2019年秋季厦门市事业单位市、区联合招聘编内工作人员考试报考指南</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1134A832EF264872A2D2B3F5C5BF6575_13</vt:lpwstr>
  </property>
  <property fmtid="{D5CDD505-2E9C-101B-9397-08002B2CF9AE}" pid="4" name="KSOTemplateDocerSaveRecord">
    <vt:lpwstr>eyJoZGlkIjoiNzA0YmI0MDAyNTNhZmM5NDNiYjhmM2E1OWU3MTQxZjkiLCJ1c2VySWQiOiIyNjg3NTE2NDEifQ==</vt:lpwstr>
  </property>
</Properties>
</file>