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FC3" w:rsidRDefault="00F76B79">
      <w:pPr>
        <w:adjustRightInd w:val="0"/>
        <w:snapToGrid w:val="0"/>
        <w:spacing w:line="360" w:lineRule="auto"/>
        <w:rPr>
          <w:rFonts w:ascii="仿宋_GB2312" w:eastAsia="仿宋_GB2312" w:cs="方正小标宋简体"/>
          <w:bCs/>
          <w:color w:val="000000"/>
          <w:kern w:val="0"/>
          <w:sz w:val="32"/>
          <w:szCs w:val="32"/>
        </w:rPr>
      </w:pPr>
      <w:r>
        <w:rPr>
          <w:rFonts w:ascii="仿宋_GB2312" w:eastAsia="仿宋_GB2312" w:cs="方正小标宋简体" w:hint="eastAsia"/>
          <w:bCs/>
          <w:color w:val="000000"/>
          <w:kern w:val="0"/>
          <w:sz w:val="32"/>
          <w:szCs w:val="32"/>
        </w:rPr>
        <w:t xml:space="preserve">                                 </w:t>
      </w:r>
    </w:p>
    <w:p w:rsidR="00621FC3" w:rsidRDefault="00621FC3">
      <w:pPr>
        <w:adjustRightInd w:val="0"/>
        <w:snapToGrid w:val="0"/>
        <w:spacing w:line="360" w:lineRule="auto"/>
        <w:ind w:firstLineChars="2000" w:firstLine="6400"/>
        <w:rPr>
          <w:rFonts w:ascii="仿宋_GB2312" w:eastAsia="仿宋_GB2312" w:cs="方正小标宋简体"/>
          <w:bCs/>
          <w:color w:val="000000"/>
          <w:kern w:val="0"/>
          <w:sz w:val="32"/>
          <w:szCs w:val="32"/>
        </w:rPr>
      </w:pPr>
    </w:p>
    <w:p w:rsidR="00621FC3" w:rsidRDefault="00621FC3">
      <w:pPr>
        <w:adjustRightInd w:val="0"/>
        <w:snapToGrid w:val="0"/>
        <w:spacing w:line="360" w:lineRule="auto"/>
        <w:rPr>
          <w:rFonts w:ascii="方正小标宋简体" w:eastAsia="方正小标宋简体" w:cs="方正小标宋简体"/>
          <w:bCs/>
          <w:color w:val="000000"/>
          <w:kern w:val="0"/>
          <w:sz w:val="44"/>
          <w:szCs w:val="44"/>
        </w:rPr>
      </w:pPr>
    </w:p>
    <w:p w:rsidR="00621FC3" w:rsidRDefault="00F76B79">
      <w:pPr>
        <w:adjustRightInd w:val="0"/>
        <w:snapToGrid w:val="0"/>
        <w:spacing w:line="360" w:lineRule="auto"/>
        <w:jc w:val="center"/>
        <w:rPr>
          <w:rFonts w:ascii="方正小标宋简体" w:eastAsia="方正小标宋简体" w:cs="方正小标宋简体"/>
          <w:bCs/>
          <w:color w:val="000000"/>
          <w:kern w:val="0"/>
          <w:sz w:val="44"/>
          <w:szCs w:val="44"/>
        </w:rPr>
      </w:pPr>
      <w:r>
        <w:rPr>
          <w:rFonts w:ascii="方正小标宋简体" w:eastAsia="方正小标宋简体" w:cs="方正小标宋简体" w:hint="eastAsia"/>
          <w:bCs/>
          <w:color w:val="000000"/>
          <w:kern w:val="0"/>
          <w:sz w:val="44"/>
          <w:szCs w:val="44"/>
        </w:rPr>
        <w:t>厦门市“十四五”人力资源和社会保障事业</w:t>
      </w:r>
    </w:p>
    <w:p w:rsidR="00621FC3" w:rsidRDefault="00F76B79">
      <w:pPr>
        <w:adjustRightInd w:val="0"/>
        <w:snapToGrid w:val="0"/>
        <w:spacing w:line="360" w:lineRule="auto"/>
        <w:jc w:val="center"/>
        <w:rPr>
          <w:rFonts w:ascii="方正小标宋简体" w:eastAsia="方正小标宋简体" w:cs="方正小标宋简体"/>
          <w:bCs/>
          <w:color w:val="000000"/>
          <w:kern w:val="0"/>
          <w:sz w:val="44"/>
          <w:szCs w:val="44"/>
        </w:rPr>
      </w:pPr>
      <w:bookmarkStart w:id="0" w:name="OLE_LINK135"/>
      <w:bookmarkStart w:id="1" w:name="OLE_LINK136"/>
      <w:r>
        <w:rPr>
          <w:rFonts w:ascii="方正小标宋简体" w:eastAsia="方正小标宋简体" w:cs="方正小标宋简体" w:hint="eastAsia"/>
          <w:bCs/>
          <w:color w:val="000000"/>
          <w:kern w:val="0"/>
          <w:sz w:val="44"/>
          <w:szCs w:val="44"/>
        </w:rPr>
        <w:t>发展专项规划</w:t>
      </w:r>
    </w:p>
    <w:p w:rsidR="00621FC3" w:rsidRDefault="00621FC3">
      <w:pPr>
        <w:adjustRightInd w:val="0"/>
        <w:snapToGrid w:val="0"/>
        <w:spacing w:line="360" w:lineRule="auto"/>
        <w:jc w:val="center"/>
        <w:rPr>
          <w:rFonts w:ascii="楷体_GB2312" w:cs="楷体_GB2312"/>
          <w:bCs/>
          <w:color w:val="000000"/>
          <w:kern w:val="0"/>
          <w:sz w:val="32"/>
          <w:szCs w:val="32"/>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
          <w:color w:val="000000"/>
          <w:kern w:val="0"/>
          <w:sz w:val="24"/>
        </w:rPr>
      </w:pPr>
    </w:p>
    <w:p w:rsidR="00621FC3" w:rsidRDefault="00621FC3">
      <w:pPr>
        <w:adjustRightInd w:val="0"/>
        <w:snapToGrid w:val="0"/>
        <w:spacing w:line="360" w:lineRule="auto"/>
        <w:jc w:val="center"/>
        <w:rPr>
          <w:rFonts w:ascii="宋体"/>
          <w:bCs/>
          <w:color w:val="000000"/>
          <w:kern w:val="0"/>
          <w:sz w:val="30"/>
          <w:szCs w:val="30"/>
        </w:rPr>
      </w:pPr>
    </w:p>
    <w:p w:rsidR="00621FC3" w:rsidRDefault="00621FC3">
      <w:pPr>
        <w:adjustRightInd w:val="0"/>
        <w:snapToGrid w:val="0"/>
        <w:spacing w:line="360" w:lineRule="auto"/>
        <w:jc w:val="center"/>
        <w:rPr>
          <w:rFonts w:ascii="宋体"/>
          <w:bCs/>
          <w:color w:val="000000"/>
          <w:kern w:val="0"/>
          <w:sz w:val="30"/>
          <w:szCs w:val="30"/>
        </w:rPr>
      </w:pPr>
    </w:p>
    <w:p w:rsidR="00621FC3" w:rsidRDefault="00F76B79" w:rsidP="007904BC">
      <w:pPr>
        <w:spacing w:afterLines="50"/>
        <w:jc w:val="center"/>
        <w:rPr>
          <w:rFonts w:ascii="宋体"/>
          <w:bCs/>
          <w:color w:val="000000"/>
          <w:kern w:val="0"/>
          <w:sz w:val="30"/>
          <w:szCs w:val="30"/>
        </w:rPr>
      </w:pPr>
      <w:r>
        <w:rPr>
          <w:rFonts w:ascii="宋体" w:hint="eastAsia"/>
          <w:bCs/>
          <w:color w:val="000000"/>
          <w:kern w:val="0"/>
          <w:sz w:val="30"/>
          <w:szCs w:val="30"/>
        </w:rPr>
        <w:t>2021</w:t>
      </w:r>
      <w:r>
        <w:rPr>
          <w:rFonts w:ascii="宋体" w:hint="eastAsia"/>
          <w:bCs/>
          <w:color w:val="000000"/>
          <w:kern w:val="0"/>
          <w:sz w:val="30"/>
          <w:szCs w:val="30"/>
        </w:rPr>
        <w:t>年</w:t>
      </w:r>
      <w:r>
        <w:rPr>
          <w:rFonts w:ascii="宋体" w:hint="eastAsia"/>
          <w:bCs/>
          <w:color w:val="000000"/>
          <w:kern w:val="0"/>
          <w:sz w:val="30"/>
          <w:szCs w:val="30"/>
        </w:rPr>
        <w:t>10</w:t>
      </w:r>
      <w:r>
        <w:rPr>
          <w:rFonts w:ascii="宋体" w:hint="eastAsia"/>
          <w:bCs/>
          <w:color w:val="000000"/>
          <w:kern w:val="0"/>
          <w:sz w:val="30"/>
          <w:szCs w:val="30"/>
        </w:rPr>
        <w:t>月</w:t>
      </w:r>
      <w:bookmarkEnd w:id="0"/>
      <w:bookmarkEnd w:id="1"/>
    </w:p>
    <w:p w:rsidR="00621FC3" w:rsidRDefault="00621FC3" w:rsidP="007904BC">
      <w:pPr>
        <w:spacing w:afterLines="50"/>
        <w:jc w:val="center"/>
        <w:rPr>
          <w:rFonts w:ascii="宋体"/>
          <w:bCs/>
          <w:color w:val="000000"/>
          <w:kern w:val="0"/>
          <w:sz w:val="30"/>
          <w:szCs w:val="30"/>
        </w:rPr>
      </w:pPr>
    </w:p>
    <w:p w:rsidR="00621FC3" w:rsidRDefault="00621FC3" w:rsidP="007904BC">
      <w:pPr>
        <w:spacing w:afterLines="50"/>
        <w:jc w:val="center"/>
        <w:rPr>
          <w:rFonts w:ascii="宋体"/>
          <w:bCs/>
          <w:color w:val="000000"/>
          <w:kern w:val="0"/>
          <w:sz w:val="30"/>
          <w:szCs w:val="30"/>
        </w:rPr>
      </w:pPr>
    </w:p>
    <w:p w:rsidR="00621FC3" w:rsidRDefault="00621FC3" w:rsidP="002C3AF5">
      <w:pPr>
        <w:pStyle w:val="a0"/>
        <w:ind w:firstLine="420"/>
      </w:pPr>
    </w:p>
    <w:p w:rsidR="00621FC3" w:rsidRDefault="00621FC3">
      <w:pPr>
        <w:pStyle w:val="Style6"/>
        <w:jc w:val="center"/>
        <w:rPr>
          <w:rFonts w:ascii="黑体" w:eastAsia="黑体"/>
          <w:color w:val="auto"/>
          <w:sz w:val="44"/>
          <w:szCs w:val="44"/>
          <w:lang w:val="zh-CN"/>
        </w:rPr>
        <w:sectPr w:rsidR="00621FC3">
          <w:pgSz w:w="11906" w:h="16838"/>
          <w:pgMar w:top="1440" w:right="1486" w:bottom="898" w:left="1380" w:header="851" w:footer="992" w:gutter="0"/>
          <w:cols w:space="720"/>
          <w:docGrid w:type="lines" w:linePitch="312"/>
        </w:sectPr>
      </w:pPr>
    </w:p>
    <w:p w:rsidR="00621FC3" w:rsidRDefault="00F76B79">
      <w:pPr>
        <w:pStyle w:val="Style6"/>
        <w:jc w:val="center"/>
        <w:rPr>
          <w:rFonts w:ascii="黑体" w:eastAsia="黑体"/>
          <w:color w:val="auto"/>
          <w:sz w:val="44"/>
          <w:szCs w:val="44"/>
          <w:lang w:val="zh-CN"/>
        </w:rPr>
      </w:pPr>
      <w:r>
        <w:rPr>
          <w:rFonts w:ascii="黑体" w:eastAsia="黑体" w:hint="eastAsia"/>
          <w:color w:val="auto"/>
          <w:sz w:val="44"/>
          <w:szCs w:val="44"/>
          <w:lang w:val="zh-CN"/>
        </w:rPr>
        <w:lastRenderedPageBreak/>
        <w:t>目  录</w:t>
      </w:r>
    </w:p>
    <w:bookmarkStart w:id="2" w:name="OLE_LINK106"/>
    <w:bookmarkStart w:id="3" w:name="OLE_LINK107"/>
    <w:p w:rsidR="00621FC3" w:rsidRDefault="00897A06">
      <w:pPr>
        <w:pStyle w:val="20"/>
        <w:tabs>
          <w:tab w:val="right" w:leader="dot" w:pos="9030"/>
        </w:tabs>
        <w:ind w:left="840"/>
        <w:rPr>
          <w:szCs w:val="32"/>
        </w:rPr>
      </w:pPr>
      <w:r>
        <w:rPr>
          <w:rFonts w:eastAsia="楷体"/>
          <w:szCs w:val="32"/>
        </w:rPr>
        <w:fldChar w:fldCharType="begin"/>
      </w:r>
      <w:r w:rsidR="00F76B79">
        <w:rPr>
          <w:rFonts w:eastAsia="楷体"/>
          <w:szCs w:val="32"/>
        </w:rPr>
        <w:instrText xml:space="preserve"> TOC \o "1-3" \h \z \u </w:instrText>
      </w:r>
      <w:r>
        <w:rPr>
          <w:rFonts w:eastAsia="楷体"/>
          <w:szCs w:val="32"/>
        </w:rPr>
        <w:fldChar w:fldCharType="separate"/>
      </w:r>
      <w:hyperlink w:anchor="_Toc60730642" w:history="1">
        <w:r w:rsidR="00F76B79">
          <w:rPr>
            <w:rStyle w:val="a8"/>
            <w:szCs w:val="32"/>
          </w:rPr>
          <w:t>一、发展基础和面临形势</w:t>
        </w:r>
        <w:r w:rsidR="00F76B79">
          <w:rPr>
            <w:szCs w:val="32"/>
          </w:rPr>
          <w:tab/>
        </w:r>
        <w:r>
          <w:rPr>
            <w:szCs w:val="32"/>
          </w:rPr>
          <w:fldChar w:fldCharType="begin"/>
        </w:r>
        <w:r w:rsidR="00F76B79">
          <w:rPr>
            <w:szCs w:val="32"/>
          </w:rPr>
          <w:instrText xml:space="preserve"> PAGEREF _Toc60730642 \h </w:instrText>
        </w:r>
        <w:r>
          <w:rPr>
            <w:szCs w:val="32"/>
          </w:rPr>
        </w:r>
        <w:r>
          <w:rPr>
            <w:szCs w:val="32"/>
          </w:rPr>
          <w:fldChar w:fldCharType="separate"/>
        </w:r>
        <w:r w:rsidR="00410B2B">
          <w:rPr>
            <w:noProof/>
            <w:szCs w:val="32"/>
          </w:rPr>
          <w:t>3</w:t>
        </w:r>
        <w:r>
          <w:rPr>
            <w:szCs w:val="32"/>
          </w:rPr>
          <w:fldChar w:fldCharType="end"/>
        </w:r>
      </w:hyperlink>
    </w:p>
    <w:p w:rsidR="00621FC3" w:rsidRDefault="00897A06">
      <w:pPr>
        <w:pStyle w:val="30"/>
        <w:ind w:left="840"/>
        <w:rPr>
          <w:sz w:val="32"/>
          <w:szCs w:val="32"/>
        </w:rPr>
      </w:pPr>
      <w:hyperlink w:anchor="_Toc60730643" w:history="1">
        <w:r w:rsidR="00F76B79">
          <w:rPr>
            <w:rStyle w:val="a8"/>
            <w:sz w:val="32"/>
            <w:szCs w:val="32"/>
          </w:rPr>
          <w:t>（一）发展</w:t>
        </w:r>
        <w:bookmarkStart w:id="4" w:name="_Hlt60738677"/>
        <w:r w:rsidR="00F76B79">
          <w:rPr>
            <w:rStyle w:val="a8"/>
            <w:sz w:val="32"/>
            <w:szCs w:val="32"/>
          </w:rPr>
          <w:t>基</w:t>
        </w:r>
        <w:bookmarkEnd w:id="4"/>
        <w:r w:rsidR="00F76B79">
          <w:rPr>
            <w:rStyle w:val="a8"/>
            <w:sz w:val="32"/>
            <w:szCs w:val="32"/>
          </w:rPr>
          <w:t>础</w:t>
        </w:r>
        <w:r w:rsidR="00F76B79">
          <w:rPr>
            <w:sz w:val="32"/>
            <w:szCs w:val="32"/>
          </w:rPr>
          <w:tab/>
        </w:r>
        <w:r>
          <w:rPr>
            <w:sz w:val="32"/>
            <w:szCs w:val="32"/>
          </w:rPr>
          <w:fldChar w:fldCharType="begin"/>
        </w:r>
        <w:r w:rsidR="00F76B79">
          <w:rPr>
            <w:sz w:val="32"/>
            <w:szCs w:val="32"/>
          </w:rPr>
          <w:instrText xml:space="preserve"> PAGEREF _Toc60730643 \h </w:instrText>
        </w:r>
        <w:r>
          <w:rPr>
            <w:sz w:val="32"/>
            <w:szCs w:val="32"/>
          </w:rPr>
        </w:r>
        <w:r>
          <w:rPr>
            <w:sz w:val="32"/>
            <w:szCs w:val="32"/>
          </w:rPr>
          <w:fldChar w:fldCharType="separate"/>
        </w:r>
        <w:r w:rsidR="00410B2B">
          <w:rPr>
            <w:noProof/>
            <w:sz w:val="32"/>
            <w:szCs w:val="32"/>
          </w:rPr>
          <w:t>3</w:t>
        </w:r>
        <w:r>
          <w:rPr>
            <w:sz w:val="32"/>
            <w:szCs w:val="32"/>
          </w:rPr>
          <w:fldChar w:fldCharType="end"/>
        </w:r>
      </w:hyperlink>
    </w:p>
    <w:p w:rsidR="00621FC3" w:rsidRDefault="00897A06">
      <w:pPr>
        <w:pStyle w:val="30"/>
        <w:ind w:left="840"/>
        <w:rPr>
          <w:sz w:val="32"/>
          <w:szCs w:val="32"/>
        </w:rPr>
      </w:pPr>
      <w:hyperlink w:anchor="_Toc60730644" w:history="1">
        <w:r w:rsidR="00F76B79">
          <w:rPr>
            <w:rStyle w:val="a8"/>
            <w:sz w:val="32"/>
            <w:szCs w:val="32"/>
          </w:rPr>
          <w:t>（二）面临形势</w:t>
        </w:r>
        <w:r w:rsidR="00F76B79">
          <w:rPr>
            <w:sz w:val="32"/>
            <w:szCs w:val="32"/>
          </w:rPr>
          <w:tab/>
        </w:r>
        <w:r w:rsidR="00F76B79">
          <w:rPr>
            <w:rFonts w:hint="eastAsia"/>
            <w:sz w:val="32"/>
            <w:szCs w:val="32"/>
          </w:rPr>
          <w:t>10</w:t>
        </w:r>
      </w:hyperlink>
    </w:p>
    <w:p w:rsidR="00621FC3" w:rsidRDefault="00897A06">
      <w:pPr>
        <w:pStyle w:val="20"/>
        <w:tabs>
          <w:tab w:val="right" w:leader="dot" w:pos="9030"/>
        </w:tabs>
        <w:ind w:left="840"/>
        <w:rPr>
          <w:szCs w:val="32"/>
        </w:rPr>
      </w:pPr>
      <w:hyperlink w:anchor="_Toc60730645" w:history="1">
        <w:r w:rsidR="00F76B79">
          <w:rPr>
            <w:rStyle w:val="a8"/>
            <w:szCs w:val="32"/>
          </w:rPr>
          <w:t>二、指导思想、基本原则与发展目标</w:t>
        </w:r>
        <w:r w:rsidR="00F76B79">
          <w:rPr>
            <w:szCs w:val="32"/>
          </w:rPr>
          <w:tab/>
        </w:r>
        <w:r>
          <w:rPr>
            <w:szCs w:val="32"/>
          </w:rPr>
          <w:fldChar w:fldCharType="begin"/>
        </w:r>
        <w:r w:rsidR="00F76B79">
          <w:rPr>
            <w:szCs w:val="32"/>
          </w:rPr>
          <w:instrText xml:space="preserve"> PAGEREF _Toc60730645 \h </w:instrText>
        </w:r>
        <w:r>
          <w:rPr>
            <w:szCs w:val="32"/>
          </w:rPr>
        </w:r>
        <w:r>
          <w:rPr>
            <w:szCs w:val="32"/>
          </w:rPr>
          <w:fldChar w:fldCharType="separate"/>
        </w:r>
        <w:r w:rsidR="00410B2B">
          <w:rPr>
            <w:noProof/>
            <w:szCs w:val="32"/>
          </w:rPr>
          <w:t>13</w:t>
        </w:r>
        <w:r>
          <w:rPr>
            <w:szCs w:val="32"/>
          </w:rPr>
          <w:fldChar w:fldCharType="end"/>
        </w:r>
      </w:hyperlink>
    </w:p>
    <w:p w:rsidR="00621FC3" w:rsidRDefault="00897A06">
      <w:pPr>
        <w:pStyle w:val="30"/>
        <w:ind w:left="840"/>
        <w:rPr>
          <w:sz w:val="32"/>
          <w:szCs w:val="32"/>
        </w:rPr>
      </w:pPr>
      <w:hyperlink w:anchor="_Toc60730646" w:history="1">
        <w:r w:rsidR="00F76B79">
          <w:rPr>
            <w:rStyle w:val="a8"/>
            <w:sz w:val="32"/>
            <w:szCs w:val="32"/>
          </w:rPr>
          <w:t>（一）指导思想</w:t>
        </w:r>
        <w:r w:rsidR="00F76B79">
          <w:rPr>
            <w:sz w:val="32"/>
            <w:szCs w:val="32"/>
          </w:rPr>
          <w:tab/>
        </w:r>
        <w:r>
          <w:rPr>
            <w:sz w:val="32"/>
            <w:szCs w:val="32"/>
          </w:rPr>
          <w:fldChar w:fldCharType="begin"/>
        </w:r>
        <w:r w:rsidR="00F76B79">
          <w:rPr>
            <w:sz w:val="32"/>
            <w:szCs w:val="32"/>
          </w:rPr>
          <w:instrText xml:space="preserve"> PAGEREF _Toc60730646 \h </w:instrText>
        </w:r>
        <w:r>
          <w:rPr>
            <w:sz w:val="32"/>
            <w:szCs w:val="32"/>
          </w:rPr>
        </w:r>
        <w:r>
          <w:rPr>
            <w:sz w:val="32"/>
            <w:szCs w:val="32"/>
          </w:rPr>
          <w:fldChar w:fldCharType="separate"/>
        </w:r>
        <w:r w:rsidR="00410B2B">
          <w:rPr>
            <w:noProof/>
            <w:sz w:val="32"/>
            <w:szCs w:val="32"/>
          </w:rPr>
          <w:t>13</w:t>
        </w:r>
        <w:r>
          <w:rPr>
            <w:sz w:val="32"/>
            <w:szCs w:val="32"/>
          </w:rPr>
          <w:fldChar w:fldCharType="end"/>
        </w:r>
      </w:hyperlink>
    </w:p>
    <w:p w:rsidR="00621FC3" w:rsidRDefault="00897A06">
      <w:pPr>
        <w:pStyle w:val="30"/>
        <w:ind w:left="840"/>
        <w:rPr>
          <w:sz w:val="32"/>
          <w:szCs w:val="32"/>
        </w:rPr>
      </w:pPr>
      <w:hyperlink w:anchor="_Toc60730647" w:history="1">
        <w:r w:rsidR="00F76B79">
          <w:rPr>
            <w:rStyle w:val="a8"/>
            <w:sz w:val="32"/>
            <w:szCs w:val="32"/>
          </w:rPr>
          <w:t>（二）基本原则</w:t>
        </w:r>
        <w:r w:rsidR="00F76B79">
          <w:rPr>
            <w:sz w:val="32"/>
            <w:szCs w:val="32"/>
          </w:rPr>
          <w:tab/>
        </w:r>
        <w:r>
          <w:rPr>
            <w:sz w:val="32"/>
            <w:szCs w:val="32"/>
          </w:rPr>
          <w:fldChar w:fldCharType="begin"/>
        </w:r>
        <w:r w:rsidR="00F76B79">
          <w:rPr>
            <w:sz w:val="32"/>
            <w:szCs w:val="32"/>
          </w:rPr>
          <w:instrText xml:space="preserve"> PAGEREF _Toc60730647 \h </w:instrText>
        </w:r>
        <w:r>
          <w:rPr>
            <w:sz w:val="32"/>
            <w:szCs w:val="32"/>
          </w:rPr>
        </w:r>
        <w:r>
          <w:rPr>
            <w:sz w:val="32"/>
            <w:szCs w:val="32"/>
          </w:rPr>
          <w:fldChar w:fldCharType="separate"/>
        </w:r>
        <w:r w:rsidR="00410B2B">
          <w:rPr>
            <w:noProof/>
            <w:sz w:val="32"/>
            <w:szCs w:val="32"/>
          </w:rPr>
          <w:t>14</w:t>
        </w:r>
        <w:r>
          <w:rPr>
            <w:sz w:val="32"/>
            <w:szCs w:val="32"/>
          </w:rPr>
          <w:fldChar w:fldCharType="end"/>
        </w:r>
      </w:hyperlink>
    </w:p>
    <w:p w:rsidR="00621FC3" w:rsidRDefault="00897A06">
      <w:pPr>
        <w:pStyle w:val="30"/>
        <w:ind w:left="840"/>
        <w:rPr>
          <w:sz w:val="32"/>
          <w:szCs w:val="32"/>
        </w:rPr>
      </w:pPr>
      <w:hyperlink w:anchor="_Toc60730648" w:history="1">
        <w:r w:rsidR="00F76B79">
          <w:rPr>
            <w:rStyle w:val="a8"/>
            <w:sz w:val="32"/>
            <w:szCs w:val="32"/>
          </w:rPr>
          <w:t>（三）发展目</w:t>
        </w:r>
        <w:bookmarkStart w:id="5" w:name="_Hlt60738643"/>
        <w:bookmarkStart w:id="6" w:name="_Hlt60738642"/>
        <w:r w:rsidR="00F76B79">
          <w:rPr>
            <w:rStyle w:val="a8"/>
            <w:sz w:val="32"/>
            <w:szCs w:val="32"/>
          </w:rPr>
          <w:t>标</w:t>
        </w:r>
        <w:bookmarkEnd w:id="5"/>
        <w:bookmarkEnd w:id="6"/>
        <w:r w:rsidR="00F76B79">
          <w:rPr>
            <w:sz w:val="32"/>
            <w:szCs w:val="32"/>
          </w:rPr>
          <w:tab/>
        </w:r>
        <w:r>
          <w:rPr>
            <w:sz w:val="32"/>
            <w:szCs w:val="32"/>
          </w:rPr>
          <w:fldChar w:fldCharType="begin"/>
        </w:r>
        <w:r w:rsidR="00F76B79">
          <w:rPr>
            <w:sz w:val="32"/>
            <w:szCs w:val="32"/>
          </w:rPr>
          <w:instrText xml:space="preserve"> PAGEREF _Toc60730648 \h </w:instrText>
        </w:r>
        <w:r>
          <w:rPr>
            <w:sz w:val="32"/>
            <w:szCs w:val="32"/>
          </w:rPr>
        </w:r>
        <w:r>
          <w:rPr>
            <w:sz w:val="32"/>
            <w:szCs w:val="32"/>
          </w:rPr>
          <w:fldChar w:fldCharType="separate"/>
        </w:r>
        <w:r w:rsidR="00410B2B">
          <w:rPr>
            <w:noProof/>
            <w:sz w:val="32"/>
            <w:szCs w:val="32"/>
          </w:rPr>
          <w:t>15</w:t>
        </w:r>
        <w:r>
          <w:rPr>
            <w:sz w:val="32"/>
            <w:szCs w:val="32"/>
          </w:rPr>
          <w:fldChar w:fldCharType="end"/>
        </w:r>
      </w:hyperlink>
    </w:p>
    <w:p w:rsidR="00621FC3" w:rsidRDefault="00897A06">
      <w:pPr>
        <w:pStyle w:val="20"/>
        <w:tabs>
          <w:tab w:val="right" w:leader="dot" w:pos="9030"/>
        </w:tabs>
        <w:ind w:left="840"/>
        <w:rPr>
          <w:szCs w:val="32"/>
        </w:rPr>
      </w:pPr>
      <w:hyperlink w:anchor="_Toc60730649" w:history="1">
        <w:r w:rsidR="00F76B79">
          <w:rPr>
            <w:rStyle w:val="a8"/>
            <w:szCs w:val="32"/>
          </w:rPr>
          <w:t>三、加强就业促进行动，推动更加充分更高质量就业</w:t>
        </w:r>
        <w:r w:rsidR="00F76B79">
          <w:rPr>
            <w:szCs w:val="32"/>
          </w:rPr>
          <w:tab/>
        </w:r>
      </w:hyperlink>
      <w:r w:rsidR="00F76B79">
        <w:rPr>
          <w:rFonts w:hint="eastAsia"/>
          <w:szCs w:val="32"/>
        </w:rPr>
        <w:t>20</w:t>
      </w:r>
    </w:p>
    <w:p w:rsidR="00621FC3" w:rsidRDefault="00897A06">
      <w:pPr>
        <w:pStyle w:val="30"/>
        <w:ind w:left="840"/>
        <w:rPr>
          <w:sz w:val="32"/>
          <w:szCs w:val="32"/>
        </w:rPr>
      </w:pPr>
      <w:hyperlink w:anchor="_Toc60730650" w:history="1">
        <w:r w:rsidR="00F76B79">
          <w:rPr>
            <w:rStyle w:val="a8"/>
            <w:sz w:val="32"/>
            <w:szCs w:val="32"/>
          </w:rPr>
          <w:t>（一）强化就业优先政策</w:t>
        </w:r>
        <w:r w:rsidR="00F76B79">
          <w:rPr>
            <w:sz w:val="32"/>
            <w:szCs w:val="32"/>
          </w:rPr>
          <w:tab/>
        </w:r>
        <w:r>
          <w:rPr>
            <w:sz w:val="32"/>
            <w:szCs w:val="32"/>
          </w:rPr>
          <w:fldChar w:fldCharType="begin"/>
        </w:r>
        <w:r w:rsidR="00F76B79">
          <w:rPr>
            <w:sz w:val="32"/>
            <w:szCs w:val="32"/>
          </w:rPr>
          <w:instrText xml:space="preserve"> PAGEREF _Toc60730650 \h </w:instrText>
        </w:r>
        <w:r>
          <w:rPr>
            <w:sz w:val="32"/>
            <w:szCs w:val="32"/>
          </w:rPr>
        </w:r>
        <w:r>
          <w:rPr>
            <w:sz w:val="32"/>
            <w:szCs w:val="32"/>
          </w:rPr>
          <w:fldChar w:fldCharType="separate"/>
        </w:r>
        <w:r w:rsidR="00410B2B">
          <w:rPr>
            <w:noProof/>
            <w:sz w:val="32"/>
            <w:szCs w:val="32"/>
          </w:rPr>
          <w:t>20</w:t>
        </w:r>
        <w:r>
          <w:rPr>
            <w:sz w:val="32"/>
            <w:szCs w:val="32"/>
          </w:rPr>
          <w:fldChar w:fldCharType="end"/>
        </w:r>
      </w:hyperlink>
    </w:p>
    <w:p w:rsidR="00621FC3" w:rsidRDefault="00897A06">
      <w:pPr>
        <w:pStyle w:val="30"/>
        <w:ind w:left="840"/>
        <w:rPr>
          <w:sz w:val="32"/>
          <w:szCs w:val="32"/>
        </w:rPr>
      </w:pPr>
      <w:hyperlink w:anchor="_Toc60730651" w:history="1">
        <w:r w:rsidR="00F76B79">
          <w:rPr>
            <w:rStyle w:val="a8"/>
            <w:sz w:val="32"/>
            <w:szCs w:val="32"/>
          </w:rPr>
          <w:t>（二）推动大众创新创业</w:t>
        </w:r>
        <w:r w:rsidR="00F76B79">
          <w:rPr>
            <w:sz w:val="32"/>
            <w:szCs w:val="32"/>
          </w:rPr>
          <w:tab/>
        </w:r>
        <w:r>
          <w:rPr>
            <w:sz w:val="32"/>
            <w:szCs w:val="32"/>
          </w:rPr>
          <w:fldChar w:fldCharType="begin"/>
        </w:r>
        <w:r w:rsidR="00F76B79">
          <w:rPr>
            <w:sz w:val="32"/>
            <w:szCs w:val="32"/>
          </w:rPr>
          <w:instrText xml:space="preserve"> PAGEREF _Toc60730651 \h </w:instrText>
        </w:r>
        <w:r>
          <w:rPr>
            <w:sz w:val="32"/>
            <w:szCs w:val="32"/>
          </w:rPr>
        </w:r>
        <w:r>
          <w:rPr>
            <w:sz w:val="32"/>
            <w:szCs w:val="32"/>
          </w:rPr>
          <w:fldChar w:fldCharType="separate"/>
        </w:r>
        <w:r w:rsidR="00410B2B">
          <w:rPr>
            <w:noProof/>
            <w:sz w:val="32"/>
            <w:szCs w:val="32"/>
          </w:rPr>
          <w:t>21</w:t>
        </w:r>
        <w:r>
          <w:rPr>
            <w:sz w:val="32"/>
            <w:szCs w:val="32"/>
          </w:rPr>
          <w:fldChar w:fldCharType="end"/>
        </w:r>
      </w:hyperlink>
    </w:p>
    <w:p w:rsidR="00621FC3" w:rsidRDefault="00897A06">
      <w:pPr>
        <w:pStyle w:val="30"/>
        <w:ind w:left="840"/>
        <w:rPr>
          <w:sz w:val="32"/>
          <w:szCs w:val="32"/>
        </w:rPr>
      </w:pPr>
      <w:hyperlink w:anchor="_Toc60730652" w:history="1">
        <w:r w:rsidR="00F76B79">
          <w:rPr>
            <w:rStyle w:val="a8"/>
            <w:sz w:val="32"/>
            <w:szCs w:val="32"/>
          </w:rPr>
          <w:t>（三）健全重点群体就业精准帮扶机制</w:t>
        </w:r>
        <w:r w:rsidR="00F76B79">
          <w:rPr>
            <w:sz w:val="32"/>
            <w:szCs w:val="32"/>
          </w:rPr>
          <w:tab/>
        </w:r>
        <w:r>
          <w:rPr>
            <w:sz w:val="32"/>
            <w:szCs w:val="32"/>
          </w:rPr>
          <w:fldChar w:fldCharType="begin"/>
        </w:r>
        <w:r w:rsidR="00F76B79">
          <w:rPr>
            <w:sz w:val="32"/>
            <w:szCs w:val="32"/>
          </w:rPr>
          <w:instrText xml:space="preserve"> PAGEREF _Toc60730652 \h </w:instrText>
        </w:r>
        <w:r>
          <w:rPr>
            <w:sz w:val="32"/>
            <w:szCs w:val="32"/>
          </w:rPr>
        </w:r>
        <w:r>
          <w:rPr>
            <w:sz w:val="32"/>
            <w:szCs w:val="32"/>
          </w:rPr>
          <w:fldChar w:fldCharType="separate"/>
        </w:r>
        <w:r w:rsidR="00410B2B">
          <w:rPr>
            <w:noProof/>
            <w:sz w:val="32"/>
            <w:szCs w:val="32"/>
          </w:rPr>
          <w:t>22</w:t>
        </w:r>
        <w:r>
          <w:rPr>
            <w:sz w:val="32"/>
            <w:szCs w:val="32"/>
          </w:rPr>
          <w:fldChar w:fldCharType="end"/>
        </w:r>
      </w:hyperlink>
    </w:p>
    <w:p w:rsidR="00621FC3" w:rsidRDefault="00897A06">
      <w:pPr>
        <w:pStyle w:val="30"/>
        <w:ind w:left="840"/>
        <w:rPr>
          <w:sz w:val="32"/>
          <w:szCs w:val="32"/>
        </w:rPr>
      </w:pPr>
      <w:hyperlink w:anchor="_Toc60730653" w:history="1">
        <w:r w:rsidR="00F76B79">
          <w:rPr>
            <w:rStyle w:val="a8"/>
            <w:sz w:val="32"/>
            <w:szCs w:val="32"/>
          </w:rPr>
          <w:t>（四）强化失业风险监测预警机制</w:t>
        </w:r>
        <w:r w:rsidR="00F76B79">
          <w:rPr>
            <w:sz w:val="32"/>
            <w:szCs w:val="32"/>
          </w:rPr>
          <w:tab/>
        </w:r>
        <w:r>
          <w:rPr>
            <w:sz w:val="32"/>
            <w:szCs w:val="32"/>
          </w:rPr>
          <w:fldChar w:fldCharType="begin"/>
        </w:r>
        <w:r w:rsidR="00F76B79">
          <w:rPr>
            <w:sz w:val="32"/>
            <w:szCs w:val="32"/>
          </w:rPr>
          <w:instrText xml:space="preserve"> PAGEREF _Toc60730653 \h </w:instrText>
        </w:r>
        <w:r>
          <w:rPr>
            <w:sz w:val="32"/>
            <w:szCs w:val="32"/>
          </w:rPr>
        </w:r>
        <w:r>
          <w:rPr>
            <w:sz w:val="32"/>
            <w:szCs w:val="32"/>
          </w:rPr>
          <w:fldChar w:fldCharType="separate"/>
        </w:r>
        <w:r w:rsidR="00410B2B">
          <w:rPr>
            <w:noProof/>
            <w:sz w:val="32"/>
            <w:szCs w:val="32"/>
          </w:rPr>
          <w:t>23</w:t>
        </w:r>
        <w:r>
          <w:rPr>
            <w:sz w:val="32"/>
            <w:szCs w:val="32"/>
          </w:rPr>
          <w:fldChar w:fldCharType="end"/>
        </w:r>
      </w:hyperlink>
    </w:p>
    <w:p w:rsidR="00621FC3" w:rsidRDefault="00897A06">
      <w:pPr>
        <w:pStyle w:val="30"/>
        <w:ind w:left="840"/>
        <w:rPr>
          <w:sz w:val="32"/>
          <w:szCs w:val="32"/>
        </w:rPr>
      </w:pPr>
      <w:hyperlink w:anchor="_Toc60730654" w:history="1">
        <w:r w:rsidR="00F76B79">
          <w:rPr>
            <w:rStyle w:val="a8"/>
            <w:sz w:val="32"/>
            <w:szCs w:val="32"/>
          </w:rPr>
          <w:t>（五）打造终身职业技能培训制度</w:t>
        </w:r>
        <w:r w:rsidR="00F76B79">
          <w:rPr>
            <w:sz w:val="32"/>
            <w:szCs w:val="32"/>
          </w:rPr>
          <w:tab/>
        </w:r>
        <w:r>
          <w:rPr>
            <w:sz w:val="32"/>
            <w:szCs w:val="32"/>
          </w:rPr>
          <w:fldChar w:fldCharType="begin"/>
        </w:r>
        <w:r w:rsidR="00F76B79">
          <w:rPr>
            <w:sz w:val="32"/>
            <w:szCs w:val="32"/>
          </w:rPr>
          <w:instrText xml:space="preserve"> PAGEREF _Toc60730654 \h </w:instrText>
        </w:r>
        <w:r>
          <w:rPr>
            <w:sz w:val="32"/>
            <w:szCs w:val="32"/>
          </w:rPr>
        </w:r>
        <w:r>
          <w:rPr>
            <w:sz w:val="32"/>
            <w:szCs w:val="32"/>
          </w:rPr>
          <w:fldChar w:fldCharType="separate"/>
        </w:r>
        <w:r w:rsidR="00410B2B">
          <w:rPr>
            <w:noProof/>
            <w:sz w:val="32"/>
            <w:szCs w:val="32"/>
          </w:rPr>
          <w:t>23</w:t>
        </w:r>
        <w:r>
          <w:rPr>
            <w:sz w:val="32"/>
            <w:szCs w:val="32"/>
          </w:rPr>
          <w:fldChar w:fldCharType="end"/>
        </w:r>
      </w:hyperlink>
    </w:p>
    <w:p w:rsidR="00621FC3" w:rsidRDefault="00897A06">
      <w:pPr>
        <w:pStyle w:val="30"/>
        <w:ind w:left="840"/>
        <w:rPr>
          <w:sz w:val="32"/>
          <w:szCs w:val="32"/>
        </w:rPr>
      </w:pPr>
      <w:hyperlink w:anchor="_Toc60730655" w:history="1">
        <w:r w:rsidR="00F76B79">
          <w:rPr>
            <w:rStyle w:val="a8"/>
            <w:sz w:val="32"/>
            <w:szCs w:val="32"/>
          </w:rPr>
          <w:t>（六）健全公共就业服务体系</w:t>
        </w:r>
        <w:r w:rsidR="00F76B79">
          <w:rPr>
            <w:sz w:val="32"/>
            <w:szCs w:val="32"/>
          </w:rPr>
          <w:tab/>
        </w:r>
        <w:r>
          <w:rPr>
            <w:sz w:val="32"/>
            <w:szCs w:val="32"/>
          </w:rPr>
          <w:fldChar w:fldCharType="begin"/>
        </w:r>
        <w:r w:rsidR="00F76B79">
          <w:rPr>
            <w:sz w:val="32"/>
            <w:szCs w:val="32"/>
          </w:rPr>
          <w:instrText xml:space="preserve"> PAGEREF _Toc60730655 \h </w:instrText>
        </w:r>
        <w:r>
          <w:rPr>
            <w:sz w:val="32"/>
            <w:szCs w:val="32"/>
          </w:rPr>
        </w:r>
        <w:r>
          <w:rPr>
            <w:sz w:val="32"/>
            <w:szCs w:val="32"/>
          </w:rPr>
          <w:fldChar w:fldCharType="separate"/>
        </w:r>
        <w:r w:rsidR="00410B2B">
          <w:rPr>
            <w:noProof/>
            <w:sz w:val="32"/>
            <w:szCs w:val="32"/>
          </w:rPr>
          <w:t>24</w:t>
        </w:r>
        <w:r>
          <w:rPr>
            <w:sz w:val="32"/>
            <w:szCs w:val="32"/>
          </w:rPr>
          <w:fldChar w:fldCharType="end"/>
        </w:r>
      </w:hyperlink>
    </w:p>
    <w:p w:rsidR="00621FC3" w:rsidRDefault="00897A06">
      <w:pPr>
        <w:pStyle w:val="20"/>
        <w:tabs>
          <w:tab w:val="right" w:leader="dot" w:pos="9030"/>
        </w:tabs>
        <w:ind w:left="840"/>
        <w:rPr>
          <w:szCs w:val="32"/>
        </w:rPr>
      </w:pPr>
      <w:hyperlink w:anchor="_Toc60730656" w:history="1">
        <w:r w:rsidR="00F76B79">
          <w:rPr>
            <w:rStyle w:val="a8"/>
            <w:szCs w:val="32"/>
          </w:rPr>
          <w:t>四、推进人才强市战略，构筑人力资源发展新高地</w:t>
        </w:r>
        <w:r w:rsidR="00F76B79">
          <w:rPr>
            <w:szCs w:val="32"/>
          </w:rPr>
          <w:tab/>
        </w:r>
        <w:r>
          <w:rPr>
            <w:szCs w:val="32"/>
          </w:rPr>
          <w:fldChar w:fldCharType="begin"/>
        </w:r>
        <w:r w:rsidR="00F76B79">
          <w:rPr>
            <w:szCs w:val="32"/>
          </w:rPr>
          <w:instrText xml:space="preserve"> PAGEREF _Toc60730656 \h </w:instrText>
        </w:r>
        <w:r>
          <w:rPr>
            <w:szCs w:val="32"/>
          </w:rPr>
        </w:r>
        <w:r>
          <w:rPr>
            <w:szCs w:val="32"/>
          </w:rPr>
          <w:fldChar w:fldCharType="separate"/>
        </w:r>
        <w:r w:rsidR="00410B2B">
          <w:rPr>
            <w:noProof/>
            <w:szCs w:val="32"/>
          </w:rPr>
          <w:t>25</w:t>
        </w:r>
        <w:r>
          <w:rPr>
            <w:szCs w:val="32"/>
          </w:rPr>
          <w:fldChar w:fldCharType="end"/>
        </w:r>
      </w:hyperlink>
    </w:p>
    <w:p w:rsidR="00621FC3" w:rsidRDefault="00897A06">
      <w:pPr>
        <w:pStyle w:val="30"/>
        <w:ind w:left="840"/>
        <w:rPr>
          <w:sz w:val="32"/>
          <w:szCs w:val="32"/>
        </w:rPr>
      </w:pPr>
      <w:hyperlink w:anchor="_Toc60730657" w:history="1">
        <w:r w:rsidR="00F76B79">
          <w:rPr>
            <w:rStyle w:val="a8"/>
            <w:sz w:val="32"/>
            <w:szCs w:val="32"/>
          </w:rPr>
          <w:t>（一）深化人才体制机制改革</w:t>
        </w:r>
        <w:r w:rsidR="00F76B79">
          <w:rPr>
            <w:sz w:val="32"/>
            <w:szCs w:val="32"/>
          </w:rPr>
          <w:tab/>
        </w:r>
        <w:r>
          <w:rPr>
            <w:sz w:val="32"/>
            <w:szCs w:val="32"/>
          </w:rPr>
          <w:fldChar w:fldCharType="begin"/>
        </w:r>
        <w:r w:rsidR="00F76B79">
          <w:rPr>
            <w:sz w:val="32"/>
            <w:szCs w:val="32"/>
          </w:rPr>
          <w:instrText xml:space="preserve"> PAGEREF _Toc60730657 \h </w:instrText>
        </w:r>
        <w:r>
          <w:rPr>
            <w:sz w:val="32"/>
            <w:szCs w:val="32"/>
          </w:rPr>
        </w:r>
        <w:r>
          <w:rPr>
            <w:sz w:val="32"/>
            <w:szCs w:val="32"/>
          </w:rPr>
          <w:fldChar w:fldCharType="separate"/>
        </w:r>
        <w:r w:rsidR="00410B2B">
          <w:rPr>
            <w:noProof/>
            <w:sz w:val="32"/>
            <w:szCs w:val="32"/>
          </w:rPr>
          <w:t>25</w:t>
        </w:r>
        <w:r>
          <w:rPr>
            <w:sz w:val="32"/>
            <w:szCs w:val="32"/>
          </w:rPr>
          <w:fldChar w:fldCharType="end"/>
        </w:r>
      </w:hyperlink>
    </w:p>
    <w:p w:rsidR="00621FC3" w:rsidRDefault="00897A06">
      <w:pPr>
        <w:pStyle w:val="30"/>
        <w:ind w:left="840"/>
        <w:rPr>
          <w:sz w:val="32"/>
          <w:szCs w:val="32"/>
        </w:rPr>
      </w:pPr>
      <w:hyperlink w:anchor="_Toc60730658" w:history="1">
        <w:r w:rsidR="00F76B79">
          <w:rPr>
            <w:rStyle w:val="a8"/>
            <w:sz w:val="32"/>
            <w:szCs w:val="32"/>
          </w:rPr>
          <w:t>（二）完善人才培养体系</w:t>
        </w:r>
        <w:r w:rsidR="00F76B79">
          <w:rPr>
            <w:sz w:val="32"/>
            <w:szCs w:val="32"/>
          </w:rPr>
          <w:tab/>
        </w:r>
        <w:r>
          <w:rPr>
            <w:sz w:val="32"/>
            <w:szCs w:val="32"/>
          </w:rPr>
          <w:fldChar w:fldCharType="begin"/>
        </w:r>
        <w:r w:rsidR="00F76B79">
          <w:rPr>
            <w:sz w:val="32"/>
            <w:szCs w:val="32"/>
          </w:rPr>
          <w:instrText xml:space="preserve"> PAGEREF _Toc60730658 \h </w:instrText>
        </w:r>
        <w:r>
          <w:rPr>
            <w:sz w:val="32"/>
            <w:szCs w:val="32"/>
          </w:rPr>
        </w:r>
        <w:r>
          <w:rPr>
            <w:sz w:val="32"/>
            <w:szCs w:val="32"/>
          </w:rPr>
          <w:fldChar w:fldCharType="separate"/>
        </w:r>
        <w:r w:rsidR="00410B2B">
          <w:rPr>
            <w:noProof/>
            <w:sz w:val="32"/>
            <w:szCs w:val="32"/>
          </w:rPr>
          <w:t>26</w:t>
        </w:r>
        <w:r>
          <w:rPr>
            <w:sz w:val="32"/>
            <w:szCs w:val="32"/>
          </w:rPr>
          <w:fldChar w:fldCharType="end"/>
        </w:r>
      </w:hyperlink>
    </w:p>
    <w:p w:rsidR="00621FC3" w:rsidRDefault="00897A06">
      <w:pPr>
        <w:pStyle w:val="30"/>
        <w:ind w:left="840"/>
        <w:rPr>
          <w:sz w:val="32"/>
          <w:szCs w:val="32"/>
        </w:rPr>
      </w:pPr>
      <w:hyperlink w:anchor="_Toc60730659" w:history="1">
        <w:r w:rsidR="00F76B79">
          <w:rPr>
            <w:rStyle w:val="a8"/>
            <w:sz w:val="32"/>
            <w:szCs w:val="32"/>
          </w:rPr>
          <w:t>（三）优化人才评价体系</w:t>
        </w:r>
        <w:r w:rsidR="00F76B79">
          <w:rPr>
            <w:sz w:val="32"/>
            <w:szCs w:val="32"/>
          </w:rPr>
          <w:tab/>
        </w:r>
        <w:r>
          <w:rPr>
            <w:sz w:val="32"/>
            <w:szCs w:val="32"/>
          </w:rPr>
          <w:fldChar w:fldCharType="begin"/>
        </w:r>
        <w:r w:rsidR="00F76B79">
          <w:rPr>
            <w:sz w:val="32"/>
            <w:szCs w:val="32"/>
          </w:rPr>
          <w:instrText xml:space="preserve"> PAGEREF _Toc60730659 \h </w:instrText>
        </w:r>
        <w:r>
          <w:rPr>
            <w:sz w:val="32"/>
            <w:szCs w:val="32"/>
          </w:rPr>
        </w:r>
        <w:r>
          <w:rPr>
            <w:sz w:val="32"/>
            <w:szCs w:val="32"/>
          </w:rPr>
          <w:fldChar w:fldCharType="separate"/>
        </w:r>
        <w:r w:rsidR="00410B2B">
          <w:rPr>
            <w:noProof/>
            <w:sz w:val="32"/>
            <w:szCs w:val="32"/>
          </w:rPr>
          <w:t>28</w:t>
        </w:r>
        <w:r>
          <w:rPr>
            <w:sz w:val="32"/>
            <w:szCs w:val="32"/>
          </w:rPr>
          <w:fldChar w:fldCharType="end"/>
        </w:r>
      </w:hyperlink>
    </w:p>
    <w:p w:rsidR="00621FC3" w:rsidRDefault="00897A06">
      <w:pPr>
        <w:pStyle w:val="30"/>
        <w:ind w:left="840"/>
        <w:rPr>
          <w:sz w:val="32"/>
          <w:szCs w:val="32"/>
        </w:rPr>
      </w:pPr>
      <w:hyperlink w:anchor="_Toc60730660" w:history="1">
        <w:r w:rsidR="00F76B79">
          <w:rPr>
            <w:rStyle w:val="a8"/>
            <w:sz w:val="32"/>
            <w:szCs w:val="32"/>
          </w:rPr>
          <w:t>（四）加强人才服务体系建设</w:t>
        </w:r>
        <w:r w:rsidR="00F76B79">
          <w:rPr>
            <w:sz w:val="32"/>
            <w:szCs w:val="32"/>
          </w:rPr>
          <w:tab/>
        </w:r>
        <w:r>
          <w:rPr>
            <w:sz w:val="32"/>
            <w:szCs w:val="32"/>
          </w:rPr>
          <w:fldChar w:fldCharType="begin"/>
        </w:r>
        <w:r w:rsidR="00F76B79">
          <w:rPr>
            <w:sz w:val="32"/>
            <w:szCs w:val="32"/>
          </w:rPr>
          <w:instrText xml:space="preserve"> PAGEREF _Toc60730660 \h </w:instrText>
        </w:r>
        <w:r>
          <w:rPr>
            <w:sz w:val="32"/>
            <w:szCs w:val="32"/>
          </w:rPr>
        </w:r>
        <w:r>
          <w:rPr>
            <w:sz w:val="32"/>
            <w:szCs w:val="32"/>
          </w:rPr>
          <w:fldChar w:fldCharType="separate"/>
        </w:r>
        <w:r w:rsidR="00410B2B">
          <w:rPr>
            <w:noProof/>
            <w:sz w:val="32"/>
            <w:szCs w:val="32"/>
          </w:rPr>
          <w:t>29</w:t>
        </w:r>
        <w:r>
          <w:rPr>
            <w:sz w:val="32"/>
            <w:szCs w:val="32"/>
          </w:rPr>
          <w:fldChar w:fldCharType="end"/>
        </w:r>
      </w:hyperlink>
    </w:p>
    <w:p w:rsidR="00621FC3" w:rsidRDefault="00897A06">
      <w:pPr>
        <w:pStyle w:val="20"/>
        <w:tabs>
          <w:tab w:val="right" w:leader="dot" w:pos="9030"/>
        </w:tabs>
        <w:ind w:left="840"/>
        <w:rPr>
          <w:szCs w:val="32"/>
        </w:rPr>
      </w:pPr>
      <w:hyperlink w:anchor="_Toc60730661" w:history="1">
        <w:r w:rsidR="00F76B79">
          <w:rPr>
            <w:rStyle w:val="a8"/>
            <w:szCs w:val="32"/>
          </w:rPr>
          <w:t>五、完善社会保障体系，提高全民保障水平</w:t>
        </w:r>
        <w:r w:rsidR="00F76B79">
          <w:rPr>
            <w:szCs w:val="32"/>
          </w:rPr>
          <w:tab/>
        </w:r>
        <w:r>
          <w:rPr>
            <w:szCs w:val="32"/>
          </w:rPr>
          <w:fldChar w:fldCharType="begin"/>
        </w:r>
        <w:r w:rsidR="00F76B79">
          <w:rPr>
            <w:szCs w:val="32"/>
          </w:rPr>
          <w:instrText xml:space="preserve"> PAGEREF _Toc60730661 \h </w:instrText>
        </w:r>
        <w:r>
          <w:rPr>
            <w:szCs w:val="32"/>
          </w:rPr>
        </w:r>
        <w:r>
          <w:rPr>
            <w:szCs w:val="32"/>
          </w:rPr>
          <w:fldChar w:fldCharType="separate"/>
        </w:r>
        <w:r w:rsidR="00410B2B">
          <w:rPr>
            <w:noProof/>
            <w:szCs w:val="32"/>
          </w:rPr>
          <w:t>29</w:t>
        </w:r>
        <w:r>
          <w:rPr>
            <w:szCs w:val="32"/>
          </w:rPr>
          <w:fldChar w:fldCharType="end"/>
        </w:r>
      </w:hyperlink>
    </w:p>
    <w:p w:rsidR="00621FC3" w:rsidRDefault="00897A06">
      <w:pPr>
        <w:pStyle w:val="30"/>
        <w:ind w:left="840"/>
        <w:rPr>
          <w:sz w:val="32"/>
          <w:szCs w:val="32"/>
        </w:rPr>
      </w:pPr>
      <w:hyperlink w:anchor="_Toc60730662" w:history="1">
        <w:r w:rsidR="00F76B79">
          <w:rPr>
            <w:rStyle w:val="a8"/>
            <w:sz w:val="32"/>
            <w:szCs w:val="32"/>
          </w:rPr>
          <w:t>（一</w:t>
        </w:r>
        <w:r w:rsidR="00F76B79">
          <w:rPr>
            <w:rStyle w:val="a8"/>
            <w:rFonts w:hint="eastAsia"/>
            <w:sz w:val="32"/>
            <w:szCs w:val="32"/>
          </w:rPr>
          <w:t>)</w:t>
        </w:r>
        <w:r w:rsidR="00F76B79">
          <w:rPr>
            <w:rStyle w:val="a8"/>
            <w:rFonts w:hint="eastAsia"/>
            <w:sz w:val="32"/>
            <w:szCs w:val="32"/>
          </w:rPr>
          <w:t>推进</w:t>
        </w:r>
        <w:r w:rsidR="00F76B79">
          <w:rPr>
            <w:rStyle w:val="a8"/>
            <w:sz w:val="32"/>
            <w:szCs w:val="32"/>
          </w:rPr>
          <w:t>全民参保</w:t>
        </w:r>
        <w:r w:rsidR="00F76B79">
          <w:rPr>
            <w:rStyle w:val="a8"/>
            <w:rFonts w:hint="eastAsia"/>
            <w:sz w:val="32"/>
            <w:szCs w:val="32"/>
          </w:rPr>
          <w:t>计划</w:t>
        </w:r>
        <w:r w:rsidR="00F76B79">
          <w:rPr>
            <w:sz w:val="32"/>
            <w:szCs w:val="32"/>
          </w:rPr>
          <w:tab/>
        </w:r>
        <w:r>
          <w:rPr>
            <w:sz w:val="32"/>
            <w:szCs w:val="32"/>
          </w:rPr>
          <w:fldChar w:fldCharType="begin"/>
        </w:r>
        <w:r w:rsidR="00F76B79">
          <w:rPr>
            <w:sz w:val="32"/>
            <w:szCs w:val="32"/>
          </w:rPr>
          <w:instrText xml:space="preserve"> PAGEREF _Toc60730662 \h </w:instrText>
        </w:r>
        <w:r>
          <w:rPr>
            <w:sz w:val="32"/>
            <w:szCs w:val="32"/>
          </w:rPr>
        </w:r>
        <w:r>
          <w:rPr>
            <w:sz w:val="32"/>
            <w:szCs w:val="32"/>
          </w:rPr>
          <w:fldChar w:fldCharType="separate"/>
        </w:r>
        <w:r w:rsidR="00410B2B">
          <w:rPr>
            <w:noProof/>
            <w:sz w:val="32"/>
            <w:szCs w:val="32"/>
          </w:rPr>
          <w:t>30</w:t>
        </w:r>
        <w:r>
          <w:rPr>
            <w:sz w:val="32"/>
            <w:szCs w:val="32"/>
          </w:rPr>
          <w:fldChar w:fldCharType="end"/>
        </w:r>
      </w:hyperlink>
    </w:p>
    <w:p w:rsidR="00621FC3" w:rsidRDefault="00897A06">
      <w:pPr>
        <w:pStyle w:val="30"/>
        <w:ind w:left="840"/>
        <w:rPr>
          <w:sz w:val="32"/>
          <w:szCs w:val="32"/>
        </w:rPr>
      </w:pPr>
      <w:hyperlink w:anchor="_Toc60730663" w:history="1">
        <w:r w:rsidR="00F76B79">
          <w:rPr>
            <w:rStyle w:val="a8"/>
            <w:sz w:val="32"/>
            <w:szCs w:val="32"/>
          </w:rPr>
          <w:t>（二）</w:t>
        </w:r>
        <w:r w:rsidR="00F76B79">
          <w:rPr>
            <w:rStyle w:val="a8"/>
            <w:rFonts w:hint="eastAsia"/>
            <w:sz w:val="32"/>
            <w:szCs w:val="32"/>
          </w:rPr>
          <w:t>完善</w:t>
        </w:r>
        <w:r w:rsidR="00F76B79">
          <w:rPr>
            <w:rStyle w:val="a8"/>
            <w:sz w:val="32"/>
            <w:szCs w:val="32"/>
          </w:rPr>
          <w:t>多层次养老保险</w:t>
        </w:r>
        <w:r w:rsidR="00F76B79">
          <w:rPr>
            <w:rStyle w:val="a8"/>
            <w:rFonts w:hint="eastAsia"/>
            <w:sz w:val="32"/>
            <w:szCs w:val="32"/>
          </w:rPr>
          <w:t>制度</w:t>
        </w:r>
        <w:r w:rsidR="00F76B79">
          <w:rPr>
            <w:sz w:val="32"/>
            <w:szCs w:val="32"/>
          </w:rPr>
          <w:tab/>
        </w:r>
        <w:r>
          <w:rPr>
            <w:sz w:val="32"/>
            <w:szCs w:val="32"/>
          </w:rPr>
          <w:fldChar w:fldCharType="begin"/>
        </w:r>
        <w:r w:rsidR="00F76B79">
          <w:rPr>
            <w:sz w:val="32"/>
            <w:szCs w:val="32"/>
          </w:rPr>
          <w:instrText xml:space="preserve"> PAGEREF _Toc60730663 \h </w:instrText>
        </w:r>
        <w:r>
          <w:rPr>
            <w:sz w:val="32"/>
            <w:szCs w:val="32"/>
          </w:rPr>
        </w:r>
        <w:r>
          <w:rPr>
            <w:sz w:val="32"/>
            <w:szCs w:val="32"/>
          </w:rPr>
          <w:fldChar w:fldCharType="separate"/>
        </w:r>
        <w:r w:rsidR="00410B2B">
          <w:rPr>
            <w:noProof/>
            <w:sz w:val="32"/>
            <w:szCs w:val="32"/>
          </w:rPr>
          <w:t>30</w:t>
        </w:r>
        <w:r>
          <w:rPr>
            <w:sz w:val="32"/>
            <w:szCs w:val="32"/>
          </w:rPr>
          <w:fldChar w:fldCharType="end"/>
        </w:r>
      </w:hyperlink>
    </w:p>
    <w:p w:rsidR="00621FC3" w:rsidRDefault="00897A06">
      <w:pPr>
        <w:pStyle w:val="30"/>
        <w:ind w:left="840"/>
        <w:rPr>
          <w:sz w:val="32"/>
          <w:szCs w:val="32"/>
        </w:rPr>
      </w:pPr>
      <w:hyperlink w:anchor="_Toc60730664" w:history="1">
        <w:r w:rsidR="00F76B79">
          <w:rPr>
            <w:rStyle w:val="a8"/>
            <w:sz w:val="32"/>
            <w:szCs w:val="32"/>
          </w:rPr>
          <w:t>（三）健全工伤保险体系</w:t>
        </w:r>
        <w:r w:rsidR="00F76B79">
          <w:rPr>
            <w:sz w:val="32"/>
            <w:szCs w:val="32"/>
          </w:rPr>
          <w:tab/>
        </w:r>
        <w:r>
          <w:rPr>
            <w:sz w:val="32"/>
            <w:szCs w:val="32"/>
          </w:rPr>
          <w:fldChar w:fldCharType="begin"/>
        </w:r>
        <w:r w:rsidR="00F76B79">
          <w:rPr>
            <w:sz w:val="32"/>
            <w:szCs w:val="32"/>
          </w:rPr>
          <w:instrText xml:space="preserve"> PAGEREF _Toc60730664 \h </w:instrText>
        </w:r>
        <w:r>
          <w:rPr>
            <w:sz w:val="32"/>
            <w:szCs w:val="32"/>
          </w:rPr>
        </w:r>
        <w:r>
          <w:rPr>
            <w:sz w:val="32"/>
            <w:szCs w:val="32"/>
          </w:rPr>
          <w:fldChar w:fldCharType="separate"/>
        </w:r>
        <w:r w:rsidR="00410B2B">
          <w:rPr>
            <w:noProof/>
            <w:sz w:val="32"/>
            <w:szCs w:val="32"/>
          </w:rPr>
          <w:t>31</w:t>
        </w:r>
        <w:r>
          <w:rPr>
            <w:sz w:val="32"/>
            <w:szCs w:val="32"/>
          </w:rPr>
          <w:fldChar w:fldCharType="end"/>
        </w:r>
      </w:hyperlink>
    </w:p>
    <w:p w:rsidR="00621FC3" w:rsidRDefault="00897A06">
      <w:pPr>
        <w:pStyle w:val="30"/>
        <w:ind w:left="840"/>
        <w:rPr>
          <w:sz w:val="32"/>
          <w:szCs w:val="32"/>
        </w:rPr>
      </w:pPr>
      <w:hyperlink w:anchor="_Toc60730665" w:history="1">
        <w:r w:rsidR="00F76B79">
          <w:rPr>
            <w:rStyle w:val="a8"/>
            <w:sz w:val="32"/>
            <w:szCs w:val="32"/>
          </w:rPr>
          <w:t>（四）完善失业保险保障功能</w:t>
        </w:r>
        <w:r w:rsidR="00F76B79">
          <w:rPr>
            <w:sz w:val="32"/>
            <w:szCs w:val="32"/>
          </w:rPr>
          <w:tab/>
        </w:r>
        <w:r>
          <w:rPr>
            <w:sz w:val="32"/>
            <w:szCs w:val="32"/>
          </w:rPr>
          <w:fldChar w:fldCharType="begin"/>
        </w:r>
        <w:r w:rsidR="00F76B79">
          <w:rPr>
            <w:sz w:val="32"/>
            <w:szCs w:val="32"/>
          </w:rPr>
          <w:instrText xml:space="preserve"> PAGEREF _Toc60730665 \h </w:instrText>
        </w:r>
        <w:r>
          <w:rPr>
            <w:sz w:val="32"/>
            <w:szCs w:val="32"/>
          </w:rPr>
        </w:r>
        <w:r>
          <w:rPr>
            <w:sz w:val="32"/>
            <w:szCs w:val="32"/>
          </w:rPr>
          <w:fldChar w:fldCharType="separate"/>
        </w:r>
        <w:r w:rsidR="00410B2B">
          <w:rPr>
            <w:noProof/>
            <w:sz w:val="32"/>
            <w:szCs w:val="32"/>
          </w:rPr>
          <w:t>31</w:t>
        </w:r>
        <w:r>
          <w:rPr>
            <w:sz w:val="32"/>
            <w:szCs w:val="32"/>
          </w:rPr>
          <w:fldChar w:fldCharType="end"/>
        </w:r>
      </w:hyperlink>
    </w:p>
    <w:p w:rsidR="00621FC3" w:rsidRDefault="00897A06">
      <w:pPr>
        <w:pStyle w:val="30"/>
        <w:ind w:left="840"/>
        <w:rPr>
          <w:sz w:val="32"/>
          <w:szCs w:val="32"/>
        </w:rPr>
      </w:pPr>
      <w:hyperlink w:anchor="_Toc60730666" w:history="1">
        <w:r w:rsidR="00F76B79">
          <w:rPr>
            <w:rStyle w:val="a8"/>
            <w:sz w:val="32"/>
            <w:szCs w:val="32"/>
          </w:rPr>
          <w:t>（五）</w:t>
        </w:r>
        <w:r w:rsidR="00F76B79">
          <w:rPr>
            <w:rStyle w:val="a8"/>
            <w:rFonts w:hint="eastAsia"/>
            <w:sz w:val="32"/>
            <w:szCs w:val="32"/>
          </w:rPr>
          <w:t>推动社保经办工作高质量发展</w:t>
        </w:r>
        <w:r w:rsidR="00F76B79">
          <w:rPr>
            <w:sz w:val="32"/>
            <w:szCs w:val="32"/>
          </w:rPr>
          <w:tab/>
        </w:r>
        <w:r>
          <w:rPr>
            <w:sz w:val="32"/>
            <w:szCs w:val="32"/>
          </w:rPr>
          <w:fldChar w:fldCharType="begin"/>
        </w:r>
        <w:r w:rsidR="00F76B79">
          <w:rPr>
            <w:sz w:val="32"/>
            <w:szCs w:val="32"/>
          </w:rPr>
          <w:instrText xml:space="preserve"> PAGEREF _Toc60730666 \h </w:instrText>
        </w:r>
        <w:r>
          <w:rPr>
            <w:sz w:val="32"/>
            <w:szCs w:val="32"/>
          </w:rPr>
        </w:r>
        <w:r>
          <w:rPr>
            <w:sz w:val="32"/>
            <w:szCs w:val="32"/>
          </w:rPr>
          <w:fldChar w:fldCharType="separate"/>
        </w:r>
        <w:r w:rsidR="00410B2B">
          <w:rPr>
            <w:noProof/>
            <w:sz w:val="32"/>
            <w:szCs w:val="32"/>
          </w:rPr>
          <w:t>32</w:t>
        </w:r>
        <w:r>
          <w:rPr>
            <w:sz w:val="32"/>
            <w:szCs w:val="32"/>
          </w:rPr>
          <w:fldChar w:fldCharType="end"/>
        </w:r>
      </w:hyperlink>
    </w:p>
    <w:p w:rsidR="00621FC3" w:rsidRDefault="00897A06">
      <w:pPr>
        <w:pStyle w:val="30"/>
        <w:ind w:left="840"/>
        <w:rPr>
          <w:sz w:val="32"/>
          <w:szCs w:val="32"/>
        </w:rPr>
      </w:pPr>
      <w:hyperlink w:anchor="_Toc60730666" w:history="1">
        <w:r w:rsidR="00F76B79">
          <w:rPr>
            <w:rStyle w:val="a8"/>
            <w:sz w:val="32"/>
            <w:szCs w:val="32"/>
          </w:rPr>
          <w:t>（</w:t>
        </w:r>
        <w:r w:rsidR="00F76B79">
          <w:rPr>
            <w:rStyle w:val="a8"/>
            <w:rFonts w:hint="eastAsia"/>
            <w:sz w:val="32"/>
            <w:szCs w:val="32"/>
          </w:rPr>
          <w:t>六</w:t>
        </w:r>
        <w:r w:rsidR="00F76B79">
          <w:rPr>
            <w:rStyle w:val="a8"/>
            <w:sz w:val="32"/>
            <w:szCs w:val="32"/>
          </w:rPr>
          <w:t>）增强退休人员社会化管理服务工作质效</w:t>
        </w:r>
        <w:r w:rsidR="00F76B79">
          <w:rPr>
            <w:sz w:val="32"/>
            <w:szCs w:val="32"/>
          </w:rPr>
          <w:tab/>
        </w:r>
        <w:r>
          <w:rPr>
            <w:sz w:val="32"/>
            <w:szCs w:val="32"/>
          </w:rPr>
          <w:fldChar w:fldCharType="begin"/>
        </w:r>
        <w:r w:rsidR="00F76B79">
          <w:rPr>
            <w:sz w:val="32"/>
            <w:szCs w:val="32"/>
          </w:rPr>
          <w:instrText xml:space="preserve"> PAGEREF _Toc60730666 \h </w:instrText>
        </w:r>
        <w:r>
          <w:rPr>
            <w:sz w:val="32"/>
            <w:szCs w:val="32"/>
          </w:rPr>
        </w:r>
        <w:r>
          <w:rPr>
            <w:sz w:val="32"/>
            <w:szCs w:val="32"/>
          </w:rPr>
          <w:fldChar w:fldCharType="separate"/>
        </w:r>
        <w:r w:rsidR="00410B2B">
          <w:rPr>
            <w:noProof/>
            <w:sz w:val="32"/>
            <w:szCs w:val="32"/>
          </w:rPr>
          <w:t>32</w:t>
        </w:r>
        <w:r>
          <w:rPr>
            <w:sz w:val="32"/>
            <w:szCs w:val="32"/>
          </w:rPr>
          <w:fldChar w:fldCharType="end"/>
        </w:r>
      </w:hyperlink>
    </w:p>
    <w:p w:rsidR="00621FC3" w:rsidRDefault="00897A06">
      <w:pPr>
        <w:pStyle w:val="30"/>
        <w:ind w:left="840"/>
        <w:rPr>
          <w:sz w:val="32"/>
          <w:szCs w:val="32"/>
        </w:rPr>
      </w:pPr>
      <w:hyperlink w:anchor="_Toc60730667" w:history="1">
        <w:r w:rsidR="00F76B79">
          <w:rPr>
            <w:rStyle w:val="a8"/>
            <w:sz w:val="32"/>
            <w:szCs w:val="32"/>
          </w:rPr>
          <w:t>（</w:t>
        </w:r>
        <w:r w:rsidR="00F76B79">
          <w:rPr>
            <w:rStyle w:val="a8"/>
            <w:rFonts w:hint="eastAsia"/>
            <w:sz w:val="32"/>
            <w:szCs w:val="32"/>
          </w:rPr>
          <w:t>七</w:t>
        </w:r>
        <w:r w:rsidR="00F76B79">
          <w:rPr>
            <w:rStyle w:val="a8"/>
            <w:sz w:val="32"/>
            <w:szCs w:val="32"/>
          </w:rPr>
          <w:t>）加强社会保险基金风险防控</w:t>
        </w:r>
        <w:r w:rsidR="00F76B79">
          <w:rPr>
            <w:sz w:val="32"/>
            <w:szCs w:val="32"/>
          </w:rPr>
          <w:tab/>
        </w:r>
        <w:r>
          <w:rPr>
            <w:sz w:val="32"/>
            <w:szCs w:val="32"/>
          </w:rPr>
          <w:fldChar w:fldCharType="begin"/>
        </w:r>
        <w:r w:rsidR="00F76B79">
          <w:rPr>
            <w:sz w:val="32"/>
            <w:szCs w:val="32"/>
          </w:rPr>
          <w:instrText xml:space="preserve"> PAGEREF _Toc60730667 \h </w:instrText>
        </w:r>
        <w:r>
          <w:rPr>
            <w:sz w:val="32"/>
            <w:szCs w:val="32"/>
          </w:rPr>
        </w:r>
        <w:r>
          <w:rPr>
            <w:sz w:val="32"/>
            <w:szCs w:val="32"/>
          </w:rPr>
          <w:fldChar w:fldCharType="separate"/>
        </w:r>
        <w:r w:rsidR="00410B2B">
          <w:rPr>
            <w:noProof/>
            <w:sz w:val="32"/>
            <w:szCs w:val="32"/>
          </w:rPr>
          <w:t>33</w:t>
        </w:r>
        <w:r>
          <w:rPr>
            <w:sz w:val="32"/>
            <w:szCs w:val="32"/>
          </w:rPr>
          <w:fldChar w:fldCharType="end"/>
        </w:r>
      </w:hyperlink>
    </w:p>
    <w:p w:rsidR="00621FC3" w:rsidRDefault="00897A06">
      <w:pPr>
        <w:pStyle w:val="20"/>
        <w:tabs>
          <w:tab w:val="right" w:leader="dot" w:pos="9030"/>
        </w:tabs>
        <w:ind w:left="840"/>
        <w:rPr>
          <w:szCs w:val="32"/>
        </w:rPr>
      </w:pPr>
      <w:hyperlink w:anchor="_Toc60730668" w:history="1">
        <w:r w:rsidR="00F76B79">
          <w:rPr>
            <w:rStyle w:val="a8"/>
            <w:szCs w:val="32"/>
          </w:rPr>
          <w:t>六、构建稳定增收机制</w:t>
        </w:r>
        <w:r w:rsidR="00F76B79">
          <w:rPr>
            <w:rStyle w:val="a8"/>
            <w:szCs w:val="32"/>
          </w:rPr>
          <w:t>,</w:t>
        </w:r>
        <w:r w:rsidR="00F76B79">
          <w:rPr>
            <w:rStyle w:val="a8"/>
            <w:szCs w:val="32"/>
          </w:rPr>
          <w:t>提升民生福祉水平</w:t>
        </w:r>
        <w:r w:rsidR="00F76B79">
          <w:rPr>
            <w:szCs w:val="32"/>
          </w:rPr>
          <w:tab/>
        </w:r>
        <w:r>
          <w:rPr>
            <w:szCs w:val="32"/>
          </w:rPr>
          <w:fldChar w:fldCharType="begin"/>
        </w:r>
        <w:r w:rsidR="00F76B79">
          <w:rPr>
            <w:szCs w:val="32"/>
          </w:rPr>
          <w:instrText xml:space="preserve"> PAGEREF _Toc60730668 \h </w:instrText>
        </w:r>
        <w:r>
          <w:rPr>
            <w:szCs w:val="32"/>
          </w:rPr>
        </w:r>
        <w:r>
          <w:rPr>
            <w:szCs w:val="32"/>
          </w:rPr>
          <w:fldChar w:fldCharType="separate"/>
        </w:r>
        <w:r w:rsidR="00410B2B">
          <w:rPr>
            <w:noProof/>
            <w:szCs w:val="32"/>
          </w:rPr>
          <w:t>34</w:t>
        </w:r>
        <w:r>
          <w:rPr>
            <w:szCs w:val="32"/>
          </w:rPr>
          <w:fldChar w:fldCharType="end"/>
        </w:r>
      </w:hyperlink>
    </w:p>
    <w:p w:rsidR="00621FC3" w:rsidRDefault="00897A06">
      <w:pPr>
        <w:pStyle w:val="30"/>
        <w:ind w:left="840"/>
        <w:rPr>
          <w:sz w:val="32"/>
          <w:szCs w:val="32"/>
        </w:rPr>
      </w:pPr>
      <w:hyperlink w:anchor="_Toc60730669" w:history="1">
        <w:r w:rsidR="00F76B79">
          <w:rPr>
            <w:rStyle w:val="a8"/>
            <w:sz w:val="32"/>
            <w:szCs w:val="32"/>
          </w:rPr>
          <w:t>（一）建立居民收入稳定增长机制</w:t>
        </w:r>
        <w:r w:rsidR="00F76B79">
          <w:rPr>
            <w:sz w:val="32"/>
            <w:szCs w:val="32"/>
          </w:rPr>
          <w:tab/>
        </w:r>
        <w:r>
          <w:rPr>
            <w:sz w:val="32"/>
            <w:szCs w:val="32"/>
          </w:rPr>
          <w:fldChar w:fldCharType="begin"/>
        </w:r>
        <w:r w:rsidR="00F76B79">
          <w:rPr>
            <w:sz w:val="32"/>
            <w:szCs w:val="32"/>
          </w:rPr>
          <w:instrText xml:space="preserve"> PAGEREF _Toc60730669 \h </w:instrText>
        </w:r>
        <w:r>
          <w:rPr>
            <w:sz w:val="32"/>
            <w:szCs w:val="32"/>
          </w:rPr>
        </w:r>
        <w:r>
          <w:rPr>
            <w:sz w:val="32"/>
            <w:szCs w:val="32"/>
          </w:rPr>
          <w:fldChar w:fldCharType="separate"/>
        </w:r>
        <w:r w:rsidR="00410B2B">
          <w:rPr>
            <w:noProof/>
            <w:sz w:val="32"/>
            <w:szCs w:val="32"/>
          </w:rPr>
          <w:t>34</w:t>
        </w:r>
        <w:r>
          <w:rPr>
            <w:sz w:val="32"/>
            <w:szCs w:val="32"/>
          </w:rPr>
          <w:fldChar w:fldCharType="end"/>
        </w:r>
      </w:hyperlink>
    </w:p>
    <w:p w:rsidR="00621FC3" w:rsidRDefault="00897A06">
      <w:pPr>
        <w:pStyle w:val="30"/>
        <w:ind w:left="840"/>
        <w:rPr>
          <w:sz w:val="32"/>
          <w:szCs w:val="32"/>
        </w:rPr>
      </w:pPr>
      <w:hyperlink w:anchor="_Toc60730670" w:history="1">
        <w:r w:rsidR="00F76B79">
          <w:rPr>
            <w:rStyle w:val="a8"/>
            <w:sz w:val="32"/>
            <w:szCs w:val="32"/>
          </w:rPr>
          <w:t>（二）加强企业工资宏观调控</w:t>
        </w:r>
        <w:r w:rsidR="00F76B79">
          <w:rPr>
            <w:sz w:val="32"/>
            <w:szCs w:val="32"/>
          </w:rPr>
          <w:tab/>
        </w:r>
        <w:r>
          <w:rPr>
            <w:sz w:val="32"/>
            <w:szCs w:val="32"/>
          </w:rPr>
          <w:fldChar w:fldCharType="begin"/>
        </w:r>
        <w:r w:rsidR="00F76B79">
          <w:rPr>
            <w:sz w:val="32"/>
            <w:szCs w:val="32"/>
          </w:rPr>
          <w:instrText xml:space="preserve"> PAGEREF _Toc60730670 \h </w:instrText>
        </w:r>
        <w:r>
          <w:rPr>
            <w:sz w:val="32"/>
            <w:szCs w:val="32"/>
          </w:rPr>
        </w:r>
        <w:r>
          <w:rPr>
            <w:sz w:val="32"/>
            <w:szCs w:val="32"/>
          </w:rPr>
          <w:fldChar w:fldCharType="separate"/>
        </w:r>
        <w:r w:rsidR="00410B2B">
          <w:rPr>
            <w:noProof/>
            <w:sz w:val="32"/>
            <w:szCs w:val="32"/>
          </w:rPr>
          <w:t>34</w:t>
        </w:r>
        <w:r>
          <w:rPr>
            <w:sz w:val="32"/>
            <w:szCs w:val="32"/>
          </w:rPr>
          <w:fldChar w:fldCharType="end"/>
        </w:r>
      </w:hyperlink>
    </w:p>
    <w:p w:rsidR="00621FC3" w:rsidRDefault="00897A06">
      <w:pPr>
        <w:pStyle w:val="30"/>
        <w:ind w:left="840"/>
        <w:rPr>
          <w:sz w:val="32"/>
          <w:szCs w:val="32"/>
        </w:rPr>
      </w:pPr>
      <w:hyperlink w:anchor="_Toc60730671" w:history="1">
        <w:r w:rsidR="00F76B79">
          <w:rPr>
            <w:rStyle w:val="a8"/>
            <w:sz w:val="32"/>
            <w:szCs w:val="32"/>
          </w:rPr>
          <w:t>（三）健全事业单位收入分配机制</w:t>
        </w:r>
        <w:r w:rsidR="00F76B79">
          <w:rPr>
            <w:sz w:val="32"/>
            <w:szCs w:val="32"/>
          </w:rPr>
          <w:tab/>
        </w:r>
        <w:r>
          <w:rPr>
            <w:sz w:val="32"/>
            <w:szCs w:val="32"/>
          </w:rPr>
          <w:fldChar w:fldCharType="begin"/>
        </w:r>
        <w:r w:rsidR="00F76B79">
          <w:rPr>
            <w:sz w:val="32"/>
            <w:szCs w:val="32"/>
          </w:rPr>
          <w:instrText xml:space="preserve"> PAGEREF _Toc60730671 \h </w:instrText>
        </w:r>
        <w:r>
          <w:rPr>
            <w:sz w:val="32"/>
            <w:szCs w:val="32"/>
          </w:rPr>
        </w:r>
        <w:r>
          <w:rPr>
            <w:sz w:val="32"/>
            <w:szCs w:val="32"/>
          </w:rPr>
          <w:fldChar w:fldCharType="separate"/>
        </w:r>
        <w:r w:rsidR="00410B2B">
          <w:rPr>
            <w:noProof/>
            <w:sz w:val="32"/>
            <w:szCs w:val="32"/>
          </w:rPr>
          <w:t>35</w:t>
        </w:r>
        <w:r>
          <w:rPr>
            <w:sz w:val="32"/>
            <w:szCs w:val="32"/>
          </w:rPr>
          <w:fldChar w:fldCharType="end"/>
        </w:r>
      </w:hyperlink>
    </w:p>
    <w:p w:rsidR="00621FC3" w:rsidRDefault="00897A06">
      <w:pPr>
        <w:pStyle w:val="20"/>
        <w:tabs>
          <w:tab w:val="right" w:leader="dot" w:pos="9030"/>
        </w:tabs>
        <w:ind w:left="840"/>
        <w:rPr>
          <w:szCs w:val="32"/>
        </w:rPr>
      </w:pPr>
      <w:hyperlink w:anchor="_Toc60730672" w:history="1">
        <w:r w:rsidR="00F76B79">
          <w:rPr>
            <w:rStyle w:val="a8"/>
            <w:szCs w:val="32"/>
          </w:rPr>
          <w:t>七、打造和谐劳动关系典范城市，营造良好用工环境</w:t>
        </w:r>
        <w:r w:rsidR="00F76B79">
          <w:rPr>
            <w:szCs w:val="32"/>
          </w:rPr>
          <w:tab/>
        </w:r>
        <w:r>
          <w:rPr>
            <w:szCs w:val="32"/>
          </w:rPr>
          <w:fldChar w:fldCharType="begin"/>
        </w:r>
        <w:r w:rsidR="00F76B79">
          <w:rPr>
            <w:szCs w:val="32"/>
          </w:rPr>
          <w:instrText xml:space="preserve"> PAGEREF _Toc60730672 \h </w:instrText>
        </w:r>
        <w:r>
          <w:rPr>
            <w:szCs w:val="32"/>
          </w:rPr>
        </w:r>
        <w:r>
          <w:rPr>
            <w:szCs w:val="32"/>
          </w:rPr>
          <w:fldChar w:fldCharType="separate"/>
        </w:r>
        <w:r w:rsidR="00410B2B">
          <w:rPr>
            <w:noProof/>
            <w:szCs w:val="32"/>
          </w:rPr>
          <w:t>35</w:t>
        </w:r>
        <w:r>
          <w:rPr>
            <w:szCs w:val="32"/>
          </w:rPr>
          <w:fldChar w:fldCharType="end"/>
        </w:r>
      </w:hyperlink>
    </w:p>
    <w:p w:rsidR="00621FC3" w:rsidRDefault="00897A06">
      <w:pPr>
        <w:pStyle w:val="30"/>
        <w:ind w:left="840"/>
        <w:rPr>
          <w:sz w:val="32"/>
          <w:szCs w:val="32"/>
        </w:rPr>
      </w:pPr>
      <w:hyperlink w:anchor="_Toc60730673" w:history="1">
        <w:r w:rsidR="00F76B79">
          <w:rPr>
            <w:rStyle w:val="a8"/>
            <w:sz w:val="32"/>
            <w:szCs w:val="32"/>
          </w:rPr>
          <w:t>（一）全面提升劳动关系治理水平</w:t>
        </w:r>
        <w:r w:rsidR="00F76B79">
          <w:rPr>
            <w:sz w:val="32"/>
            <w:szCs w:val="32"/>
          </w:rPr>
          <w:tab/>
        </w:r>
        <w:r>
          <w:rPr>
            <w:sz w:val="32"/>
            <w:szCs w:val="32"/>
          </w:rPr>
          <w:fldChar w:fldCharType="begin"/>
        </w:r>
        <w:r w:rsidR="00F76B79">
          <w:rPr>
            <w:sz w:val="32"/>
            <w:szCs w:val="32"/>
          </w:rPr>
          <w:instrText xml:space="preserve"> PAGEREF _Toc60730673 \h </w:instrText>
        </w:r>
        <w:r>
          <w:rPr>
            <w:sz w:val="32"/>
            <w:szCs w:val="32"/>
          </w:rPr>
        </w:r>
        <w:r>
          <w:rPr>
            <w:sz w:val="32"/>
            <w:szCs w:val="32"/>
          </w:rPr>
          <w:fldChar w:fldCharType="separate"/>
        </w:r>
        <w:r w:rsidR="00410B2B">
          <w:rPr>
            <w:noProof/>
            <w:sz w:val="32"/>
            <w:szCs w:val="32"/>
          </w:rPr>
          <w:t>36</w:t>
        </w:r>
        <w:r>
          <w:rPr>
            <w:sz w:val="32"/>
            <w:szCs w:val="32"/>
          </w:rPr>
          <w:fldChar w:fldCharType="end"/>
        </w:r>
      </w:hyperlink>
    </w:p>
    <w:p w:rsidR="00621FC3" w:rsidRDefault="00897A06">
      <w:pPr>
        <w:pStyle w:val="30"/>
        <w:ind w:left="840"/>
        <w:rPr>
          <w:sz w:val="32"/>
          <w:szCs w:val="32"/>
        </w:rPr>
      </w:pPr>
      <w:hyperlink w:anchor="_Toc60730674" w:history="1">
        <w:r w:rsidR="00F76B79">
          <w:rPr>
            <w:rStyle w:val="a8"/>
            <w:sz w:val="32"/>
            <w:szCs w:val="32"/>
          </w:rPr>
          <w:t>（二）完善劳动保障监察执法体系</w:t>
        </w:r>
        <w:r w:rsidR="00F76B79">
          <w:rPr>
            <w:sz w:val="32"/>
            <w:szCs w:val="32"/>
          </w:rPr>
          <w:tab/>
        </w:r>
        <w:r>
          <w:rPr>
            <w:sz w:val="32"/>
            <w:szCs w:val="32"/>
          </w:rPr>
          <w:fldChar w:fldCharType="begin"/>
        </w:r>
        <w:r w:rsidR="00F76B79">
          <w:rPr>
            <w:sz w:val="32"/>
            <w:szCs w:val="32"/>
          </w:rPr>
          <w:instrText xml:space="preserve"> PAGEREF _Toc60730674 \h </w:instrText>
        </w:r>
        <w:r>
          <w:rPr>
            <w:sz w:val="32"/>
            <w:szCs w:val="32"/>
          </w:rPr>
        </w:r>
        <w:r>
          <w:rPr>
            <w:sz w:val="32"/>
            <w:szCs w:val="32"/>
          </w:rPr>
          <w:fldChar w:fldCharType="separate"/>
        </w:r>
        <w:r w:rsidR="00410B2B">
          <w:rPr>
            <w:noProof/>
            <w:sz w:val="32"/>
            <w:szCs w:val="32"/>
          </w:rPr>
          <w:t>36</w:t>
        </w:r>
        <w:r>
          <w:rPr>
            <w:sz w:val="32"/>
            <w:szCs w:val="32"/>
          </w:rPr>
          <w:fldChar w:fldCharType="end"/>
        </w:r>
      </w:hyperlink>
    </w:p>
    <w:p w:rsidR="00621FC3" w:rsidRDefault="00897A06">
      <w:pPr>
        <w:pStyle w:val="30"/>
        <w:ind w:left="840"/>
        <w:rPr>
          <w:sz w:val="32"/>
          <w:szCs w:val="32"/>
        </w:rPr>
      </w:pPr>
      <w:hyperlink w:anchor="_Toc60730675" w:history="1">
        <w:r w:rsidR="00F76B79">
          <w:rPr>
            <w:rStyle w:val="a8"/>
            <w:sz w:val="32"/>
            <w:szCs w:val="32"/>
          </w:rPr>
          <w:t>（三）提升劳动人事争议调解仲裁能力建设</w:t>
        </w:r>
        <w:r w:rsidR="00F76B79">
          <w:rPr>
            <w:sz w:val="32"/>
            <w:szCs w:val="32"/>
          </w:rPr>
          <w:tab/>
        </w:r>
        <w:r>
          <w:rPr>
            <w:sz w:val="32"/>
            <w:szCs w:val="32"/>
          </w:rPr>
          <w:fldChar w:fldCharType="begin"/>
        </w:r>
        <w:r w:rsidR="00F76B79">
          <w:rPr>
            <w:sz w:val="32"/>
            <w:szCs w:val="32"/>
          </w:rPr>
          <w:instrText xml:space="preserve"> PAGEREF _Toc60730675 \h </w:instrText>
        </w:r>
        <w:r>
          <w:rPr>
            <w:sz w:val="32"/>
            <w:szCs w:val="32"/>
          </w:rPr>
        </w:r>
        <w:r>
          <w:rPr>
            <w:sz w:val="32"/>
            <w:szCs w:val="32"/>
          </w:rPr>
          <w:fldChar w:fldCharType="separate"/>
        </w:r>
        <w:r w:rsidR="00410B2B">
          <w:rPr>
            <w:noProof/>
            <w:sz w:val="32"/>
            <w:szCs w:val="32"/>
          </w:rPr>
          <w:t>37</w:t>
        </w:r>
        <w:r>
          <w:rPr>
            <w:sz w:val="32"/>
            <w:szCs w:val="32"/>
          </w:rPr>
          <w:fldChar w:fldCharType="end"/>
        </w:r>
      </w:hyperlink>
    </w:p>
    <w:p w:rsidR="00621FC3" w:rsidRDefault="00897A06">
      <w:pPr>
        <w:pStyle w:val="30"/>
        <w:ind w:left="840"/>
        <w:rPr>
          <w:sz w:val="32"/>
          <w:szCs w:val="32"/>
        </w:rPr>
      </w:pPr>
      <w:hyperlink w:anchor="_Toc60730676" w:history="1">
        <w:r w:rsidR="00F76B79">
          <w:rPr>
            <w:rStyle w:val="a8"/>
            <w:sz w:val="32"/>
            <w:szCs w:val="32"/>
          </w:rPr>
          <w:t>（四）加强劳动关系信息化建设</w:t>
        </w:r>
        <w:r w:rsidR="00F76B79">
          <w:rPr>
            <w:sz w:val="32"/>
            <w:szCs w:val="32"/>
          </w:rPr>
          <w:tab/>
        </w:r>
        <w:r>
          <w:rPr>
            <w:sz w:val="32"/>
            <w:szCs w:val="32"/>
          </w:rPr>
          <w:fldChar w:fldCharType="begin"/>
        </w:r>
        <w:r w:rsidR="00F76B79">
          <w:rPr>
            <w:sz w:val="32"/>
            <w:szCs w:val="32"/>
          </w:rPr>
          <w:instrText xml:space="preserve"> PAGEREF _Toc60730676 \h </w:instrText>
        </w:r>
        <w:r>
          <w:rPr>
            <w:sz w:val="32"/>
            <w:szCs w:val="32"/>
          </w:rPr>
        </w:r>
        <w:r>
          <w:rPr>
            <w:sz w:val="32"/>
            <w:szCs w:val="32"/>
          </w:rPr>
          <w:fldChar w:fldCharType="separate"/>
        </w:r>
        <w:r w:rsidR="00410B2B">
          <w:rPr>
            <w:noProof/>
            <w:sz w:val="32"/>
            <w:szCs w:val="32"/>
          </w:rPr>
          <w:t>38</w:t>
        </w:r>
        <w:r>
          <w:rPr>
            <w:sz w:val="32"/>
            <w:szCs w:val="32"/>
          </w:rPr>
          <w:fldChar w:fldCharType="end"/>
        </w:r>
      </w:hyperlink>
    </w:p>
    <w:p w:rsidR="00621FC3" w:rsidRDefault="00897A06">
      <w:pPr>
        <w:pStyle w:val="20"/>
        <w:tabs>
          <w:tab w:val="right" w:leader="dot" w:pos="9030"/>
        </w:tabs>
        <w:ind w:left="840"/>
        <w:rPr>
          <w:szCs w:val="32"/>
        </w:rPr>
      </w:pPr>
      <w:hyperlink w:anchor="_Toc60730677" w:history="1">
        <w:r w:rsidR="00F76B79">
          <w:rPr>
            <w:rStyle w:val="a8"/>
            <w:szCs w:val="32"/>
          </w:rPr>
          <w:t>八、强化规划实施保障</w:t>
        </w:r>
        <w:r w:rsidR="00F76B79">
          <w:rPr>
            <w:szCs w:val="32"/>
          </w:rPr>
          <w:tab/>
        </w:r>
        <w:r>
          <w:rPr>
            <w:szCs w:val="32"/>
          </w:rPr>
          <w:fldChar w:fldCharType="begin"/>
        </w:r>
        <w:r w:rsidR="00F76B79">
          <w:rPr>
            <w:szCs w:val="32"/>
          </w:rPr>
          <w:instrText xml:space="preserve"> PAGEREF _Toc60730677 \h </w:instrText>
        </w:r>
        <w:r>
          <w:rPr>
            <w:szCs w:val="32"/>
          </w:rPr>
        </w:r>
        <w:r>
          <w:rPr>
            <w:szCs w:val="32"/>
          </w:rPr>
          <w:fldChar w:fldCharType="separate"/>
        </w:r>
        <w:r w:rsidR="00410B2B">
          <w:rPr>
            <w:noProof/>
            <w:szCs w:val="32"/>
          </w:rPr>
          <w:t>38</w:t>
        </w:r>
        <w:r>
          <w:rPr>
            <w:szCs w:val="32"/>
          </w:rPr>
          <w:fldChar w:fldCharType="end"/>
        </w:r>
      </w:hyperlink>
    </w:p>
    <w:p w:rsidR="00621FC3" w:rsidRDefault="00897A06">
      <w:pPr>
        <w:pStyle w:val="30"/>
        <w:ind w:left="840"/>
        <w:rPr>
          <w:sz w:val="32"/>
          <w:szCs w:val="32"/>
        </w:rPr>
      </w:pPr>
      <w:hyperlink w:anchor="_Toc60730678" w:history="1">
        <w:r w:rsidR="00F76B79">
          <w:rPr>
            <w:rStyle w:val="a8"/>
            <w:sz w:val="32"/>
            <w:szCs w:val="32"/>
          </w:rPr>
          <w:t>（一）全面加强党的领导</w:t>
        </w:r>
        <w:r w:rsidR="00F76B79">
          <w:rPr>
            <w:sz w:val="32"/>
            <w:szCs w:val="32"/>
          </w:rPr>
          <w:tab/>
        </w:r>
        <w:r>
          <w:rPr>
            <w:sz w:val="32"/>
            <w:szCs w:val="32"/>
          </w:rPr>
          <w:fldChar w:fldCharType="begin"/>
        </w:r>
        <w:r w:rsidR="00F76B79">
          <w:rPr>
            <w:sz w:val="32"/>
            <w:szCs w:val="32"/>
          </w:rPr>
          <w:instrText xml:space="preserve"> PAGEREF _Toc60730678 \h </w:instrText>
        </w:r>
        <w:r>
          <w:rPr>
            <w:sz w:val="32"/>
            <w:szCs w:val="32"/>
          </w:rPr>
        </w:r>
        <w:r>
          <w:rPr>
            <w:sz w:val="32"/>
            <w:szCs w:val="32"/>
          </w:rPr>
          <w:fldChar w:fldCharType="separate"/>
        </w:r>
        <w:r w:rsidR="00410B2B">
          <w:rPr>
            <w:noProof/>
            <w:sz w:val="32"/>
            <w:szCs w:val="32"/>
          </w:rPr>
          <w:t>38</w:t>
        </w:r>
        <w:r>
          <w:rPr>
            <w:sz w:val="32"/>
            <w:szCs w:val="32"/>
          </w:rPr>
          <w:fldChar w:fldCharType="end"/>
        </w:r>
      </w:hyperlink>
    </w:p>
    <w:p w:rsidR="00621FC3" w:rsidRDefault="00897A06">
      <w:pPr>
        <w:pStyle w:val="30"/>
        <w:ind w:left="840"/>
        <w:rPr>
          <w:sz w:val="32"/>
          <w:szCs w:val="32"/>
        </w:rPr>
      </w:pPr>
      <w:hyperlink w:anchor="_Toc60730679" w:history="1">
        <w:r w:rsidR="00F76B79">
          <w:rPr>
            <w:rStyle w:val="a8"/>
            <w:sz w:val="32"/>
            <w:szCs w:val="32"/>
          </w:rPr>
          <w:t>（二）完善规划实施机制</w:t>
        </w:r>
        <w:r w:rsidR="00F76B79">
          <w:rPr>
            <w:sz w:val="32"/>
            <w:szCs w:val="32"/>
          </w:rPr>
          <w:tab/>
        </w:r>
        <w:r>
          <w:rPr>
            <w:sz w:val="32"/>
            <w:szCs w:val="32"/>
          </w:rPr>
          <w:fldChar w:fldCharType="begin"/>
        </w:r>
        <w:r w:rsidR="00F76B79">
          <w:rPr>
            <w:sz w:val="32"/>
            <w:szCs w:val="32"/>
          </w:rPr>
          <w:instrText xml:space="preserve"> PAGEREF _Toc60730679 \h </w:instrText>
        </w:r>
        <w:r>
          <w:rPr>
            <w:sz w:val="32"/>
            <w:szCs w:val="32"/>
          </w:rPr>
        </w:r>
        <w:r>
          <w:rPr>
            <w:sz w:val="32"/>
            <w:szCs w:val="32"/>
          </w:rPr>
          <w:fldChar w:fldCharType="separate"/>
        </w:r>
        <w:r w:rsidR="00410B2B">
          <w:rPr>
            <w:noProof/>
            <w:sz w:val="32"/>
            <w:szCs w:val="32"/>
          </w:rPr>
          <w:t>39</w:t>
        </w:r>
        <w:r>
          <w:rPr>
            <w:sz w:val="32"/>
            <w:szCs w:val="32"/>
          </w:rPr>
          <w:fldChar w:fldCharType="end"/>
        </w:r>
      </w:hyperlink>
    </w:p>
    <w:p w:rsidR="00621FC3" w:rsidRDefault="00897A06">
      <w:pPr>
        <w:pStyle w:val="30"/>
        <w:ind w:left="840"/>
        <w:rPr>
          <w:sz w:val="32"/>
          <w:szCs w:val="32"/>
        </w:rPr>
      </w:pPr>
      <w:hyperlink w:anchor="_Toc60730680" w:history="1">
        <w:r w:rsidR="00F76B79">
          <w:rPr>
            <w:rStyle w:val="a8"/>
            <w:sz w:val="32"/>
            <w:szCs w:val="32"/>
          </w:rPr>
          <w:t>（三）提升能力建设</w:t>
        </w:r>
        <w:r w:rsidR="00F76B79">
          <w:rPr>
            <w:sz w:val="32"/>
            <w:szCs w:val="32"/>
          </w:rPr>
          <w:tab/>
        </w:r>
        <w:r>
          <w:rPr>
            <w:sz w:val="32"/>
            <w:szCs w:val="32"/>
          </w:rPr>
          <w:fldChar w:fldCharType="begin"/>
        </w:r>
        <w:r w:rsidR="00F76B79">
          <w:rPr>
            <w:sz w:val="32"/>
            <w:szCs w:val="32"/>
          </w:rPr>
          <w:instrText xml:space="preserve"> PAGEREF _Toc60730680 \h </w:instrText>
        </w:r>
        <w:r>
          <w:rPr>
            <w:sz w:val="32"/>
            <w:szCs w:val="32"/>
          </w:rPr>
        </w:r>
        <w:r>
          <w:rPr>
            <w:sz w:val="32"/>
            <w:szCs w:val="32"/>
          </w:rPr>
          <w:fldChar w:fldCharType="separate"/>
        </w:r>
        <w:r w:rsidR="00410B2B">
          <w:rPr>
            <w:noProof/>
            <w:sz w:val="32"/>
            <w:szCs w:val="32"/>
          </w:rPr>
          <w:t>41</w:t>
        </w:r>
        <w:r>
          <w:rPr>
            <w:sz w:val="32"/>
            <w:szCs w:val="32"/>
          </w:rPr>
          <w:fldChar w:fldCharType="end"/>
        </w:r>
      </w:hyperlink>
    </w:p>
    <w:p w:rsidR="00621FC3" w:rsidRDefault="00897A06">
      <w:pPr>
        <w:pStyle w:val="30"/>
        <w:ind w:left="840"/>
        <w:rPr>
          <w:sz w:val="32"/>
          <w:szCs w:val="32"/>
        </w:rPr>
      </w:pPr>
      <w:hyperlink w:anchor="_Toc60730681" w:history="1">
        <w:r w:rsidR="00F76B79">
          <w:rPr>
            <w:rStyle w:val="a8"/>
            <w:sz w:val="32"/>
            <w:szCs w:val="32"/>
          </w:rPr>
          <w:t>（四）健全监测考评机制</w:t>
        </w:r>
        <w:r w:rsidR="00F76B79">
          <w:rPr>
            <w:sz w:val="32"/>
            <w:szCs w:val="32"/>
          </w:rPr>
          <w:tab/>
        </w:r>
        <w:r>
          <w:rPr>
            <w:sz w:val="32"/>
            <w:szCs w:val="32"/>
          </w:rPr>
          <w:fldChar w:fldCharType="begin"/>
        </w:r>
        <w:r w:rsidR="00F76B79">
          <w:rPr>
            <w:sz w:val="32"/>
            <w:szCs w:val="32"/>
          </w:rPr>
          <w:instrText xml:space="preserve"> PAGEREF _Toc60730681 \h </w:instrText>
        </w:r>
        <w:r>
          <w:rPr>
            <w:sz w:val="32"/>
            <w:szCs w:val="32"/>
          </w:rPr>
        </w:r>
        <w:r>
          <w:rPr>
            <w:sz w:val="32"/>
            <w:szCs w:val="32"/>
          </w:rPr>
          <w:fldChar w:fldCharType="separate"/>
        </w:r>
        <w:r w:rsidR="00410B2B">
          <w:rPr>
            <w:noProof/>
            <w:sz w:val="32"/>
            <w:szCs w:val="32"/>
          </w:rPr>
          <w:t>41</w:t>
        </w:r>
        <w:r>
          <w:rPr>
            <w:sz w:val="32"/>
            <w:szCs w:val="32"/>
          </w:rPr>
          <w:fldChar w:fldCharType="end"/>
        </w:r>
      </w:hyperlink>
    </w:p>
    <w:p w:rsidR="00621FC3" w:rsidRDefault="00897A06">
      <w:pPr>
        <w:rPr>
          <w:b/>
          <w:bCs/>
          <w:sz w:val="32"/>
          <w:szCs w:val="32"/>
        </w:rPr>
        <w:sectPr w:rsidR="00621FC3">
          <w:footerReference w:type="default" r:id="rId6"/>
          <w:pgSz w:w="11906" w:h="16838"/>
          <w:pgMar w:top="1440" w:right="1486" w:bottom="898" w:left="1380" w:header="851" w:footer="992" w:gutter="0"/>
          <w:pgNumType w:start="1"/>
          <w:cols w:space="720"/>
          <w:docGrid w:type="lines" w:linePitch="312"/>
        </w:sectPr>
      </w:pPr>
      <w:r>
        <w:rPr>
          <w:rFonts w:eastAsia="楷体"/>
          <w:sz w:val="32"/>
          <w:szCs w:val="32"/>
        </w:rPr>
        <w:fldChar w:fldCharType="end"/>
      </w:r>
      <w:bookmarkEnd w:id="2"/>
      <w:bookmarkEnd w:id="3"/>
    </w:p>
    <w:p w:rsidR="00621FC3" w:rsidRDefault="00F76B79">
      <w:pPr>
        <w:pStyle w:val="a1"/>
        <w:spacing w:line="620" w:lineRule="exact"/>
        <w:ind w:firstLine="640"/>
      </w:pPr>
      <w:r>
        <w:rPr>
          <w:rFonts w:cs="Times New Roman" w:hint="eastAsia"/>
          <w:color w:val="auto"/>
        </w:rPr>
        <w:lastRenderedPageBreak/>
        <w:t>“十四五”时期是开启我国</w:t>
      </w:r>
      <w:r>
        <w:rPr>
          <w:rFonts w:hint="eastAsia"/>
          <w:color w:val="auto"/>
        </w:rPr>
        <w:t>全面建设社会主义现代化国家新征程、向第二个百年奋斗目标进军的第一个五年，也是我市全方位推动高质量发展超越、更高水平建设</w:t>
      </w:r>
      <w:bookmarkStart w:id="7" w:name="OLE_LINK50"/>
      <w:bookmarkStart w:id="8" w:name="OLE_LINK51"/>
      <w:r>
        <w:rPr>
          <w:rFonts w:hint="eastAsia"/>
          <w:color w:val="auto"/>
        </w:rPr>
        <w:t>高素质高颜值现代化国际化</w:t>
      </w:r>
      <w:bookmarkEnd w:id="7"/>
      <w:bookmarkEnd w:id="8"/>
      <w:r>
        <w:rPr>
          <w:rFonts w:hint="eastAsia"/>
          <w:color w:val="auto"/>
        </w:rPr>
        <w:t>城市的关键五年</w:t>
      </w:r>
      <w:r>
        <w:rPr>
          <w:rFonts w:cs="Times New Roman" w:hint="eastAsia"/>
          <w:color w:val="auto"/>
        </w:rPr>
        <w:t>。</w:t>
      </w:r>
      <w:r>
        <w:rPr>
          <w:rFonts w:hint="eastAsia"/>
        </w:rPr>
        <w:t>人力资源和社会保障事业作为社会经济发展的有机组成部分，在改善人民生活品质和提高社会建设水平工作中发挥着重要作用。</w:t>
      </w:r>
      <w:r>
        <w:rPr>
          <w:rFonts w:cs="Times New Roman" w:hint="eastAsia"/>
        </w:rPr>
        <w:t>科学编制好全市人力资源和社会保障事业发展“十四五”规划，对于大力发展我市人力资源社会保障事业、切实保障和改善民生，为我市经济社会事业提供强有力的人才支撑和社会保障，具有十分重要的意义。依据《厦门市国民经济和社会发展第十四个五年规划和二〇三五年远景目标纲要》</w:t>
      </w:r>
      <w:r>
        <w:rPr>
          <w:rFonts w:hint="eastAsia"/>
          <w:color w:val="auto"/>
        </w:rPr>
        <w:t>及</w:t>
      </w:r>
      <w:r>
        <w:rPr>
          <w:rFonts w:hint="eastAsia"/>
        </w:rPr>
        <w:t>国家、福建省关于人力资源和社会保障事业相关规划政策</w:t>
      </w:r>
      <w:r>
        <w:rPr>
          <w:rFonts w:cs="Times New Roman" w:hint="eastAsia"/>
        </w:rPr>
        <w:t>，</w:t>
      </w:r>
      <w:r>
        <w:rPr>
          <w:rFonts w:hint="eastAsia"/>
        </w:rPr>
        <w:t>编制本规划。</w:t>
      </w:r>
    </w:p>
    <w:p w:rsidR="00621FC3" w:rsidRDefault="00F76B79" w:rsidP="002C3AF5">
      <w:pPr>
        <w:pStyle w:val="2"/>
        <w:spacing w:line="620" w:lineRule="exact"/>
        <w:ind w:firstLine="640"/>
        <w:rPr>
          <w:b w:val="0"/>
          <w:bCs w:val="0"/>
        </w:rPr>
      </w:pPr>
      <w:bookmarkStart w:id="9" w:name="_Toc57503985"/>
      <w:bookmarkStart w:id="10" w:name="_Toc60730642"/>
      <w:r>
        <w:rPr>
          <w:rFonts w:hint="eastAsia"/>
          <w:b w:val="0"/>
          <w:bCs w:val="0"/>
        </w:rPr>
        <w:t>一、发展基础和面临形势</w:t>
      </w:r>
      <w:bookmarkEnd w:id="9"/>
      <w:bookmarkEnd w:id="10"/>
    </w:p>
    <w:p w:rsidR="00621FC3" w:rsidRDefault="00F76B79">
      <w:pPr>
        <w:pStyle w:val="3"/>
        <w:spacing w:line="620" w:lineRule="exact"/>
        <w:rPr>
          <w:rFonts w:ascii="楷体_GB2312" w:eastAsia="楷体_GB2312" w:hAnsi="楷体_GB2312" w:cs="楷体_GB2312"/>
        </w:rPr>
      </w:pPr>
      <w:bookmarkStart w:id="11" w:name="_Toc60730643"/>
      <w:bookmarkStart w:id="12" w:name="_Toc57503986"/>
      <w:r>
        <w:rPr>
          <w:rFonts w:ascii="楷体_GB2312" w:eastAsia="楷体_GB2312" w:hAnsi="楷体_GB2312" w:cs="楷体_GB2312" w:hint="eastAsia"/>
        </w:rPr>
        <w:t>（一）发展基础</w:t>
      </w:r>
      <w:bookmarkEnd w:id="11"/>
      <w:bookmarkEnd w:id="12"/>
    </w:p>
    <w:p w:rsidR="00621FC3" w:rsidRDefault="00F76B79">
      <w:pPr>
        <w:pStyle w:val="a1"/>
        <w:spacing w:line="620" w:lineRule="exact"/>
        <w:ind w:firstLine="640"/>
      </w:pPr>
      <w:r>
        <w:rPr>
          <w:rFonts w:hint="eastAsia"/>
        </w:rPr>
        <w:t>“十三五”时期是厦门市人力资源和社会保障事业快速发展的时期。在市委、市政府的领导下，在</w:t>
      </w:r>
      <w:bookmarkStart w:id="13" w:name="OLE_LINK166"/>
      <w:bookmarkStart w:id="14" w:name="OLE_LINK167"/>
      <w:r>
        <w:rPr>
          <w:rFonts w:hint="eastAsia"/>
        </w:rPr>
        <w:t>福建省人力资源和社会保障</w:t>
      </w:r>
      <w:bookmarkEnd w:id="13"/>
      <w:bookmarkEnd w:id="14"/>
      <w:r>
        <w:rPr>
          <w:rFonts w:hint="eastAsia"/>
        </w:rPr>
        <w:t>厅的指导下，厦门市人力资源和社会保障部门贯彻以人民为中心的发展理念，把保障和改善民生作为加快高素质高颜值现代化国际化城市建设的出发点和落脚点，在落实就业优先、促进人才优先、健全社会保障、改善劳动关系和优化公共服务等方面取得了较大成效，为“十四五”期间人力资源和社会保障事业高质量发展奠定了坚实基础。</w:t>
      </w:r>
    </w:p>
    <w:p w:rsidR="00621FC3" w:rsidRDefault="00F76B79" w:rsidP="002C3AF5">
      <w:pPr>
        <w:adjustRightInd w:val="0"/>
        <w:snapToGrid w:val="0"/>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color w:val="000000"/>
          <w:kern w:val="0"/>
          <w:sz w:val="32"/>
          <w:szCs w:val="32"/>
        </w:rPr>
        <w:lastRenderedPageBreak/>
        <w:t>就业促进成效显著。</w:t>
      </w:r>
      <w:r>
        <w:rPr>
          <w:rFonts w:ascii="仿宋_GB2312" w:eastAsia="仿宋_GB2312" w:cs="仿宋_GB2312" w:hint="eastAsia"/>
          <w:color w:val="000000"/>
          <w:kern w:val="0"/>
          <w:sz w:val="32"/>
          <w:szCs w:val="32"/>
        </w:rPr>
        <w:t>发挥就业大数据平台优势，构建“一平台两系统”，从人力资源市场的供需两端发力，开展供需信息精准匹配对接和多渠道精准推送工作。持续深化重点群体就业政策，开展充分就业社区创建活动。“十三五”期间，累计实现城镇新增就业117.17万人，城镇失业人员再就业50.57万人，其中城镇就业困难人员再就业7.79万人。建立面向全体劳动者的职业培训与技能提升制度，出台了符合产业发展的“一企一策”培训政策，支持企业职工、城乡劳动者以及其他重点群体参加各项职业技能培训，“十三五”期间开展职业技能培训23.7万人次（不含疫情期间线上培训的34.5万人次）,极大促进了技能人才成长发展。加大就业创业扶持力度，强化优惠政策宣传落实，及时、高效兑现各项就业优惠政策。</w:t>
      </w:r>
    </w:p>
    <w:p w:rsidR="00621FC3" w:rsidRDefault="00F76B79" w:rsidP="002C3AF5">
      <w:pPr>
        <w:adjustRightInd w:val="0"/>
        <w:snapToGrid w:val="0"/>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color w:val="000000"/>
          <w:kern w:val="0"/>
          <w:sz w:val="32"/>
          <w:szCs w:val="32"/>
        </w:rPr>
        <w:t>人才创新驱动增速。</w:t>
      </w:r>
      <w:r>
        <w:rPr>
          <w:rFonts w:ascii="仿宋_GB2312" w:eastAsia="仿宋_GB2312" w:cs="仿宋_GB2312" w:hint="eastAsia"/>
          <w:bCs/>
          <w:color w:val="000000"/>
          <w:kern w:val="0"/>
          <w:sz w:val="32"/>
          <w:szCs w:val="32"/>
        </w:rPr>
        <w:t>以服务创新为驱动，持续推进“双百计划”“海纳百川”人才计划政策，打造“群鹭兴厦”人才政策矩阵。“十三五”期间，</w:t>
      </w:r>
      <w:r>
        <w:rPr>
          <w:rFonts w:ascii="仿宋_GB2312" w:eastAsia="仿宋_GB2312" w:cs="仿宋_GB2312" w:hint="eastAsia"/>
          <w:color w:val="000000"/>
          <w:kern w:val="0"/>
          <w:sz w:val="32"/>
          <w:szCs w:val="32"/>
        </w:rPr>
        <w:t>人才队伍规模和质量得到显著提升，人才队伍结构逐步优化，人才规模总量现突破百万。高端人才数量</w:t>
      </w:r>
      <w:r w:rsidR="007904BC">
        <w:rPr>
          <w:rFonts w:ascii="仿宋_GB2312" w:eastAsia="仿宋_GB2312" w:cs="仿宋_GB2312" w:hint="eastAsia"/>
          <w:color w:val="000000"/>
          <w:kern w:val="0"/>
          <w:sz w:val="32"/>
          <w:szCs w:val="32"/>
        </w:rPr>
        <w:t>位居</w:t>
      </w:r>
      <w:r>
        <w:rPr>
          <w:rFonts w:ascii="仿宋_GB2312" w:eastAsia="仿宋_GB2312" w:cs="仿宋_GB2312" w:hint="eastAsia"/>
          <w:color w:val="000000"/>
          <w:kern w:val="0"/>
          <w:sz w:val="32"/>
          <w:szCs w:val="32"/>
        </w:rPr>
        <w:t>全省前列，在国内同类城市保持领先。</w:t>
      </w:r>
      <w:r>
        <w:rPr>
          <w:rFonts w:ascii="仿宋_GB2312" w:eastAsia="仿宋_GB2312" w:cs="仿宋_GB2312" w:hint="eastAsia"/>
          <w:kern w:val="0"/>
          <w:sz w:val="32"/>
          <w:szCs w:val="32"/>
        </w:rPr>
        <w:t>实施“院校毕业生招聘行动”，共吸纳21.8万名毕业生</w:t>
      </w:r>
      <w:r>
        <w:rPr>
          <w:rFonts w:ascii="仿宋_GB2312" w:eastAsia="仿宋_GB2312" w:cs="仿宋_GB2312" w:hint="eastAsia"/>
          <w:color w:val="000000"/>
          <w:kern w:val="0"/>
          <w:sz w:val="32"/>
          <w:szCs w:val="32"/>
        </w:rPr>
        <w:t>。本土人才队伍逐步壮大，人才素质能力再提升成效显著，共有6.4万人获得专业技术资格，6</w:t>
      </w:r>
      <w:r>
        <w:rPr>
          <w:rFonts w:ascii="仿宋_GB2312" w:eastAsia="仿宋_GB2312" w:cs="仿宋_GB2312"/>
          <w:color w:val="000000"/>
          <w:kern w:val="0"/>
          <w:sz w:val="32"/>
          <w:szCs w:val="32"/>
        </w:rPr>
        <w:t>.55</w:t>
      </w:r>
      <w:r>
        <w:rPr>
          <w:rFonts w:ascii="仿宋_GB2312" w:eastAsia="仿宋_GB2312" w:cs="仿宋_GB2312" w:hint="eastAsia"/>
          <w:color w:val="000000"/>
          <w:kern w:val="0"/>
          <w:sz w:val="32"/>
          <w:szCs w:val="32"/>
        </w:rPr>
        <w:t>万人次</w:t>
      </w:r>
      <w:r>
        <w:rPr>
          <w:rFonts w:ascii="仿宋_GB2312" w:eastAsia="仿宋_GB2312" w:cs="仿宋_GB2312" w:hint="eastAsia"/>
          <w:kern w:val="0"/>
          <w:sz w:val="32"/>
          <w:szCs w:val="32"/>
        </w:rPr>
        <w:t>取得高级工以上职业资格证书。创新设立“双百人才企业板”，为人才企业提</w:t>
      </w:r>
      <w:r>
        <w:rPr>
          <w:rFonts w:ascii="仿宋_GB2312" w:eastAsia="仿宋_GB2312" w:cs="仿宋_GB2312" w:hint="eastAsia"/>
          <w:kern w:val="0"/>
          <w:sz w:val="32"/>
          <w:szCs w:val="32"/>
        </w:rPr>
        <w:lastRenderedPageBreak/>
        <w:t>供辅导改制、挂牌展示、交易融资等专业服务，“双百”企业估值超千亿，产值和销售收入年均增幅30%以上。</w:t>
      </w:r>
      <w:r>
        <w:rPr>
          <w:rFonts w:ascii="仿宋_GB2312" w:eastAsia="仿宋_GB2312" w:cs="仿宋_GB2312" w:hint="eastAsia"/>
          <w:color w:val="000000"/>
          <w:kern w:val="0"/>
          <w:sz w:val="32"/>
          <w:szCs w:val="32"/>
        </w:rPr>
        <w:t>两岸人才交流合作进一步深化，共出台11个专</w:t>
      </w:r>
      <w:r>
        <w:rPr>
          <w:rFonts w:ascii="仿宋_GB2312" w:eastAsia="仿宋_GB2312" w:cs="仿宋_GB2312" w:hint="eastAsia"/>
          <w:bCs/>
          <w:color w:val="000000"/>
          <w:kern w:val="0"/>
          <w:sz w:val="32"/>
          <w:szCs w:val="32"/>
        </w:rPr>
        <w:t>项惠台人才政策，率先启动两岸人才评价互通。与台湾人力资源机构合作加强，联合漳州、泉州、龙岩、三明等地每年举办台湾地区专业人才对接会，吸引台胞来厦创业就业。推动人才体制机制创新，</w:t>
      </w:r>
      <w:r>
        <w:rPr>
          <w:rFonts w:ascii="仿宋_GB2312" w:eastAsia="仿宋_GB2312" w:cs="仿宋_GB2312" w:hint="eastAsia"/>
          <w:color w:val="000000"/>
          <w:kern w:val="0"/>
          <w:sz w:val="32"/>
          <w:szCs w:val="32"/>
        </w:rPr>
        <w:t>率先全省新设大数据和机电元器件专业2个职称专业，探索形成以系列主管部门、产业联盟、行业协会和企业为主体的多元评价模式，共有2054人通过职称改革试点取得高、中、初级职称证书，其中“航空维修产业职称评审”被列为国务院第六批自由贸易试验区改革试点经验复制推广。贯彻落实《事业单位人事管理条例》，</w:t>
      </w:r>
      <w:r>
        <w:rPr>
          <w:rFonts w:ascii="仿宋_GB2312" w:eastAsia="仿宋_GB2312" w:cs="仿宋_GB2312" w:hint="eastAsia"/>
          <w:kern w:val="0"/>
          <w:sz w:val="32"/>
          <w:szCs w:val="32"/>
        </w:rPr>
        <w:t>稳步推进职称、薪酬和绩效改革，</w:t>
      </w:r>
      <w:r>
        <w:rPr>
          <w:rFonts w:ascii="仿宋_GB2312" w:eastAsia="仿宋_GB2312" w:cs="仿宋_GB2312" w:hint="eastAsia"/>
          <w:color w:val="000000"/>
          <w:kern w:val="0"/>
          <w:sz w:val="32"/>
          <w:szCs w:val="32"/>
        </w:rPr>
        <w:t>基本实现身份管理向岗位管理转变，实现人事管理全面信息化，持续做好事业单位工作人员聘用、调动、工资福利、退休、考核、奖惩等日常管理，重视政策研究和制度建设。</w:t>
      </w:r>
    </w:p>
    <w:p w:rsidR="00621FC3" w:rsidRDefault="00F76B79" w:rsidP="002C3AF5">
      <w:pPr>
        <w:adjustRightInd w:val="0"/>
        <w:snapToGrid w:val="0"/>
        <w:spacing w:line="620" w:lineRule="exact"/>
        <w:ind w:firstLineChars="200" w:firstLine="643"/>
        <w:rPr>
          <w:rFonts w:ascii="仿宋_GB2312" w:eastAsia="仿宋_GB2312" w:hAnsi="黑体"/>
          <w:sz w:val="32"/>
          <w:szCs w:val="32"/>
        </w:rPr>
      </w:pPr>
      <w:r>
        <w:rPr>
          <w:rFonts w:ascii="仿宋_GB2312" w:eastAsia="仿宋_GB2312" w:cs="仿宋_GB2312" w:hint="eastAsia"/>
          <w:b/>
          <w:color w:val="000000"/>
          <w:kern w:val="0"/>
          <w:sz w:val="32"/>
          <w:szCs w:val="32"/>
        </w:rPr>
        <w:t>社会保障能力增强。</w:t>
      </w:r>
      <w:r>
        <w:rPr>
          <w:rFonts w:ascii="仿宋_GB2312" w:eastAsia="仿宋_GB2312" w:cs="仿宋_GB2312" w:hint="eastAsia"/>
          <w:bCs/>
          <w:color w:val="000000"/>
          <w:kern w:val="0"/>
          <w:sz w:val="32"/>
          <w:szCs w:val="32"/>
        </w:rPr>
        <w:t>深化社会保障制度改革，有序推进养老保险省级统筹和全国统筹。扩大社会保障</w:t>
      </w:r>
      <w:r>
        <w:rPr>
          <w:rFonts w:ascii="仿宋_GB2312" w:eastAsia="仿宋_GB2312" w:cs="仿宋_GB2312" w:hint="eastAsia"/>
          <w:color w:val="000000"/>
          <w:kern w:val="0"/>
          <w:sz w:val="32"/>
          <w:szCs w:val="32"/>
        </w:rPr>
        <w:t>覆盖面，</w:t>
      </w:r>
      <w:r>
        <w:rPr>
          <w:rFonts w:ascii="仿宋_GB2312" w:eastAsia="仿宋_GB2312" w:cs="仿宋_GB2312" w:hint="eastAsia"/>
          <w:kern w:val="0"/>
          <w:sz w:val="32"/>
          <w:szCs w:val="32"/>
        </w:rPr>
        <w:t>2020年城镇职工基本养老保险(含机关养老保险)参保人数较2015年末增长105.9万人，失业保险参保人数较2015年末增长75.96万人，工伤保险参保人数较2015年末增长75.4万人。</w:t>
      </w:r>
      <w:r>
        <w:rPr>
          <w:rFonts w:ascii="仿宋_GB2312" w:eastAsia="仿宋_GB2312" w:hAnsi="黑体" w:hint="eastAsia"/>
          <w:color w:val="000000"/>
          <w:sz w:val="32"/>
          <w:szCs w:val="32"/>
        </w:rPr>
        <w:t>社会保障水平稳步提升，企业退休人员平均养老金以年均约5%的增幅进行调整；落实《关于建立城乡居民基本养</w:t>
      </w:r>
      <w:r>
        <w:rPr>
          <w:rFonts w:ascii="仿宋_GB2312" w:eastAsia="仿宋_GB2312" w:hAnsi="黑体" w:hint="eastAsia"/>
          <w:color w:val="000000"/>
          <w:sz w:val="32"/>
          <w:szCs w:val="32"/>
        </w:rPr>
        <w:lastRenderedPageBreak/>
        <w:t>老保险待遇确定和基础养老金正常调整机制的实施意见》等文件，城乡居民基础养老金由2015年的245元提高到2020年末的310元，位居全省第一。</w:t>
      </w:r>
      <w:r>
        <w:rPr>
          <w:rFonts w:ascii="仿宋_GB2312" w:eastAsia="仿宋_GB2312" w:cs="仿宋_GB2312" w:hint="eastAsia"/>
          <w:color w:val="000000"/>
          <w:kern w:val="0"/>
          <w:sz w:val="32"/>
          <w:szCs w:val="32"/>
        </w:rPr>
        <w:t>“十三五”期间，共兑现本市居民参加城乡居民基本养老保险参保补助4620万</w:t>
      </w:r>
      <w:r>
        <w:rPr>
          <w:rFonts w:ascii="仿宋_GB2312" w:eastAsia="仿宋_GB2312" w:cs="仿宋_GB2312" w:hint="eastAsia"/>
          <w:kern w:val="0"/>
          <w:sz w:val="32"/>
          <w:szCs w:val="32"/>
        </w:rPr>
        <w:t>元，发放失业保险金15.92亿元，发放一次性生活补助金2.35亿元。完善工伤保险制度，出台《厦门市工伤保险待遇管理办法》《厦门市工伤康复管理办法》《厦门市职工因病或非因公伤残劳动能力鉴定管理办法》《厦门市补充工伤保险实施办法》；推进工伤保险基金省级统筹工作，各项政策和待遇标准顺利过渡到与全省一致；</w:t>
      </w:r>
      <w:r>
        <w:rPr>
          <w:rFonts w:ascii="仿宋_GB2312" w:eastAsia="仿宋_GB2312" w:hint="eastAsia"/>
          <w:bCs/>
          <w:sz w:val="32"/>
          <w:szCs w:val="32"/>
        </w:rPr>
        <w:t>通过政府购买劳动能力鉴定服务方式，在全省率先建成专门化、规范化、标准化的劳动</w:t>
      </w:r>
      <w:r>
        <w:rPr>
          <w:rFonts w:ascii="仿宋_GB2312" w:eastAsia="仿宋_GB2312"/>
          <w:bCs/>
          <w:sz w:val="32"/>
          <w:szCs w:val="32"/>
        </w:rPr>
        <w:t>能力</w:t>
      </w:r>
      <w:r>
        <w:rPr>
          <w:rFonts w:ascii="仿宋_GB2312" w:eastAsia="仿宋_GB2312" w:hint="eastAsia"/>
          <w:bCs/>
          <w:sz w:val="32"/>
          <w:szCs w:val="32"/>
        </w:rPr>
        <w:t>现场鉴定工作点；</w:t>
      </w:r>
      <w:r>
        <w:rPr>
          <w:rFonts w:ascii="仿宋_GB2312" w:eastAsia="仿宋_GB2312" w:cs="仿宋_GB2312" w:hint="eastAsia"/>
          <w:kern w:val="0"/>
          <w:sz w:val="32"/>
          <w:szCs w:val="32"/>
        </w:rPr>
        <w:t>依法保障工伤职工合法权益，“十三五”期间，共认定工伤43329件，鉴定26857人次，支付工伤保险待遇20.20亿元。</w:t>
      </w:r>
    </w:p>
    <w:p w:rsidR="00621FC3" w:rsidRDefault="00F76B79" w:rsidP="002C3AF5">
      <w:pPr>
        <w:adjustRightInd w:val="0"/>
        <w:snapToGrid w:val="0"/>
        <w:spacing w:line="620" w:lineRule="exact"/>
        <w:ind w:firstLineChars="200" w:firstLine="643"/>
        <w:rPr>
          <w:rFonts w:ascii="仿宋_GB2312" w:eastAsia="仿宋_GB2312" w:cs="仿宋_GB2312"/>
          <w:b/>
          <w:color w:val="000000"/>
          <w:kern w:val="0"/>
          <w:sz w:val="32"/>
          <w:szCs w:val="32"/>
        </w:rPr>
      </w:pPr>
      <w:r>
        <w:rPr>
          <w:rFonts w:ascii="仿宋_GB2312" w:eastAsia="仿宋_GB2312" w:cs="仿宋_GB2312" w:hint="eastAsia"/>
          <w:b/>
          <w:color w:val="000000"/>
          <w:kern w:val="0"/>
          <w:sz w:val="32"/>
          <w:szCs w:val="32"/>
        </w:rPr>
        <w:t>劳动关系稳定和谐。</w:t>
      </w:r>
      <w:r>
        <w:rPr>
          <w:rFonts w:ascii="仿宋_GB2312" w:eastAsia="仿宋_GB2312" w:cs="仿宋_GB2312" w:hint="eastAsia"/>
          <w:color w:val="000000"/>
          <w:sz w:val="32"/>
          <w:szCs w:val="31"/>
        </w:rPr>
        <w:t>贯彻落实中共中央、中共福建省委关于构建和谐劳动关系的意见，制定《关于构建和谐劳动关系的实施意见》及责任分工方案，健全劳动关系三方协调机制，成立由市政府分管领导担任主任的厦门市协调劳动关系三方委员会。建立劳动关系和谐工业园区、镇（街道）、社区、商业街（楼宇）、企业等五类市级创建标准</w:t>
      </w:r>
      <w:r>
        <w:rPr>
          <w:rFonts w:ascii="仿宋_GB2312" w:eastAsia="仿宋_GB2312" w:cs="仿宋_GB2312" w:hint="eastAsia"/>
          <w:sz w:val="32"/>
          <w:szCs w:val="31"/>
        </w:rPr>
        <w:t>，在基层和小微企业开展“1118”和谐劳动关系示范工程建设，经验做法由省人社厅发文向全省推广。五年来共评选认定3个国家</w:t>
      </w:r>
      <w:r>
        <w:rPr>
          <w:rFonts w:ascii="仿宋_GB2312" w:eastAsia="仿宋_GB2312" w:cs="仿宋_GB2312" w:hint="eastAsia"/>
          <w:sz w:val="32"/>
          <w:szCs w:val="31"/>
        </w:rPr>
        <w:lastRenderedPageBreak/>
        <w:t>级、51个省级、161个市级劳动关</w:t>
      </w:r>
      <w:r>
        <w:rPr>
          <w:rFonts w:ascii="仿宋_GB2312" w:eastAsia="仿宋_GB2312" w:cs="仿宋_GB2312" w:hint="eastAsia"/>
          <w:color w:val="000000"/>
          <w:sz w:val="32"/>
          <w:szCs w:val="31"/>
        </w:rPr>
        <w:t>系和谐单位，61个区级和谐劳动关系创建示范点，2个省市共建和谐劳动关系综合试验区，13家省级“和谐同行”培育企业。</w:t>
      </w:r>
      <w:bookmarkStart w:id="15" w:name="OLE_LINK237"/>
      <w:bookmarkStart w:id="16" w:name="OLE_LINK236"/>
      <w:r>
        <w:rPr>
          <w:rFonts w:ascii="仿宋_GB2312" w:eastAsia="仿宋_GB2312" w:cs="仿宋_GB2312" w:hint="eastAsia"/>
          <w:color w:val="000000"/>
          <w:sz w:val="32"/>
          <w:szCs w:val="31"/>
        </w:rPr>
        <w:t>建立健全劳动关系领域风险防控机制，加强劳动关系领域风险监测预警和研判，制定实施劳动关系预警制度、挂钩帮扶制度、部门联动制度。建立“双随机一公开”机制，</w:t>
      </w:r>
      <w:bookmarkEnd w:id="15"/>
      <w:bookmarkEnd w:id="16"/>
      <w:r>
        <w:rPr>
          <w:rFonts w:ascii="仿宋_GB2312" w:eastAsia="仿宋_GB2312" w:cs="仿宋_GB2312" w:hint="eastAsia"/>
          <w:color w:val="000000"/>
          <w:sz w:val="32"/>
          <w:szCs w:val="31"/>
        </w:rPr>
        <w:t>推动劳动保障守法诚信等级评价</w:t>
      </w:r>
      <w:bookmarkStart w:id="17" w:name="OLE_LINK238"/>
      <w:bookmarkStart w:id="18" w:name="OLE_LINK239"/>
      <w:r>
        <w:rPr>
          <w:rFonts w:ascii="仿宋_GB2312" w:eastAsia="仿宋_GB2312" w:cs="仿宋_GB2312" w:hint="eastAsia"/>
          <w:color w:val="000000"/>
          <w:sz w:val="32"/>
          <w:szCs w:val="31"/>
        </w:rPr>
        <w:t>。全面推进劳动保障监察</w:t>
      </w:r>
      <w:bookmarkEnd w:id="17"/>
      <w:bookmarkEnd w:id="18"/>
      <w:r>
        <w:rPr>
          <w:rFonts w:ascii="仿宋_GB2312" w:eastAsia="仿宋_GB2312" w:cs="仿宋_GB2312" w:hint="eastAsia"/>
          <w:kern w:val="0"/>
          <w:sz w:val="32"/>
          <w:szCs w:val="32"/>
        </w:rPr>
        <w:t>“网格化、网络化”建设，截至2020年末，已建成街（镇）一级网格数43个，社区二级网格数492个。在建工程项目全面开展“无欠薪项目部”创建活动。创新监察执法方式，推行以服务为导向的柔性执法。畅通举报投诉渠道，全市劳动保障监察机构投诉举报电话全部由“12333”人社热线呼转。自主研发上线“农民工欠薪风险预警与防控系统”，根据企业或在建工程项目的实名登记、考勤、社保参保、工资发放等信息进行动态预警和分析研判。对</w:t>
      </w:r>
      <w:r>
        <w:rPr>
          <w:rFonts w:ascii="仿宋_GB2312" w:eastAsia="仿宋_GB2312" w:cs="仿宋_GB2312" w:hint="eastAsia"/>
          <w:color w:val="000000"/>
          <w:sz w:val="32"/>
          <w:szCs w:val="31"/>
        </w:rPr>
        <w:t>用人单位工资支付行为开展信用等级评价工作，进行守信激励和失信惩戒。加强基层调解组织建设，推进驻镇街派出庭和调解点建设，促进劳动关系和谐稳定。“十三五”期末，劳动保障监察举报投诉案件按期结案率100%，劳动人事争议调解成功率60%，劳动人事争议仲裁（审限）结案率100%。</w:t>
      </w:r>
    </w:p>
    <w:p w:rsidR="00621FC3" w:rsidRDefault="00F76B79">
      <w:pPr>
        <w:pStyle w:val="a1"/>
        <w:spacing w:line="620" w:lineRule="exact"/>
        <w:ind w:firstLine="643"/>
        <w:rPr>
          <w:rFonts w:hAnsi="仿宋_GB2312"/>
          <w:color w:val="auto"/>
        </w:rPr>
      </w:pPr>
      <w:r>
        <w:rPr>
          <w:rFonts w:hint="eastAsia"/>
          <w:b/>
        </w:rPr>
        <w:t>公共服务水平提升。</w:t>
      </w:r>
      <w:r>
        <w:rPr>
          <w:rFonts w:hint="eastAsia"/>
          <w:color w:val="auto"/>
        </w:rPr>
        <w:t>制定厦门市人力资源和社会保障信息化总体规划，以“整合资源、优化流程、提升服务、完善</w:t>
      </w:r>
      <w:r>
        <w:rPr>
          <w:rFonts w:hint="eastAsia"/>
          <w:color w:val="auto"/>
        </w:rPr>
        <w:lastRenderedPageBreak/>
        <w:t>管理、加强监管、支持决策”为主线，建设基础平台一体化、基础数据一体化、业务经办一体化、公共服务一体化、监管决策一体化，实现人社业务领域信息化全覆盖，形成全市业务联动办理格局，基本实现“智慧人社”目标。构建覆盖市、区、镇（街道）、村（居）的四级网络以及内外网一体化的业务经办和公共服务体系，高频事项基本实现“一趟不用跑”，已实现人社系统依申请权责清单事项“一趟不用跑”占比85%。</w:t>
      </w:r>
      <w:r>
        <w:rPr>
          <w:rFonts w:hAnsi="仿宋_GB2312" w:hint="eastAsia"/>
          <w:color w:val="auto"/>
        </w:rPr>
        <w:t>社保公共服务办理流程逐步优化，建成多渠道的“智慧社保”经办体系，推动社保业务“15分钟便民服务圈”“全程网办”“五星级”建设，</w:t>
      </w:r>
      <w:r w:rsidR="00AB3D62">
        <w:rPr>
          <w:rFonts w:hAnsi="黑体" w:hint="eastAsia"/>
          <w:color w:val="auto"/>
        </w:rPr>
        <w:t>大力推进社保经办网办、全程网办，形成“</w:t>
      </w:r>
      <w:r>
        <w:rPr>
          <w:rFonts w:hAnsi="黑体" w:hint="eastAsia"/>
          <w:color w:val="auto"/>
        </w:rPr>
        <w:t>一号通呼叫、一卡通应用、一网式经办、一掌式服务、一机通自助</w:t>
      </w:r>
      <w:r w:rsidR="00AB3D62">
        <w:rPr>
          <w:rFonts w:hAnsi="黑体" w:hint="eastAsia"/>
          <w:color w:val="auto"/>
        </w:rPr>
        <w:t>”</w:t>
      </w:r>
      <w:r>
        <w:rPr>
          <w:rFonts w:hAnsi="黑体" w:hint="eastAsia"/>
          <w:color w:val="auto"/>
        </w:rPr>
        <w:t>为核心的社会保险公共服务系统。我市关于社会保险参保扩面的省对市绩效考评指标连续5年均位列全省第一。</w:t>
      </w:r>
      <w:r>
        <w:rPr>
          <w:rFonts w:hint="eastAsia"/>
          <w:color w:val="auto"/>
        </w:rPr>
        <w:t>“十三五”期间各项社保待遇的审核支付办结率达100%。</w:t>
      </w:r>
      <w:bookmarkStart w:id="19" w:name="OLE_LINK264"/>
      <w:bookmarkStart w:id="20" w:name="OLE_LINK265"/>
      <w:r>
        <w:rPr>
          <w:rFonts w:hint="eastAsia"/>
          <w:color w:val="auto"/>
        </w:rPr>
        <w:t>全面深化退休人员社会化管理服务，</w:t>
      </w:r>
      <w:bookmarkEnd w:id="19"/>
      <w:bookmarkEnd w:id="20"/>
      <w:r>
        <w:rPr>
          <w:rFonts w:hint="eastAsia"/>
          <w:color w:val="auto"/>
        </w:rPr>
        <w:t>出台《厦门市退休人员社会化管理服务办法》，在省内率先将被征地退养人员和农场退休人员、领取城乡居民基本养老保险待遇人员纳入社会化管理服务。全市累计接收移交38.88万名退休人员。率先在省内开展退休人员人事档案数字化建设，全市档案数字化率达到87.52%。创新开展退休人员人脸识别资格认证方式。</w:t>
      </w:r>
      <w:bookmarkStart w:id="21" w:name="OLE_LINK267"/>
      <w:bookmarkStart w:id="22" w:name="OLE_LINK268"/>
      <w:r>
        <w:rPr>
          <w:rFonts w:hint="eastAsia"/>
          <w:color w:val="auto"/>
        </w:rPr>
        <w:t>加强退休人员社会化管理服务，退休人员社会化管理服务率达99.99%</w:t>
      </w:r>
      <w:bookmarkEnd w:id="21"/>
      <w:bookmarkEnd w:id="22"/>
      <w:r>
        <w:rPr>
          <w:rFonts w:hint="eastAsia"/>
          <w:color w:val="auto"/>
        </w:rPr>
        <w:t>，退休人员管理活动经费由2016年的每人每年100</w:t>
      </w:r>
      <w:r>
        <w:rPr>
          <w:rFonts w:hint="eastAsia"/>
          <w:color w:val="auto"/>
        </w:rPr>
        <w:lastRenderedPageBreak/>
        <w:t>元增加到2020年的每人每年400元，不断完善走访慰问制度，全面提升</w:t>
      </w:r>
      <w:bookmarkStart w:id="23" w:name="OLE_LINK270"/>
      <w:bookmarkStart w:id="24" w:name="OLE_LINK269"/>
      <w:r>
        <w:rPr>
          <w:rFonts w:hint="eastAsia"/>
          <w:color w:val="auto"/>
        </w:rPr>
        <w:t>退休人员幸福指数</w:t>
      </w:r>
      <w:bookmarkEnd w:id="23"/>
      <w:bookmarkEnd w:id="24"/>
      <w:r>
        <w:rPr>
          <w:rFonts w:hint="eastAsia"/>
          <w:color w:val="auto"/>
        </w:rPr>
        <w:t>。</w:t>
      </w:r>
    </w:p>
    <w:p w:rsidR="00621FC3" w:rsidRDefault="00F76B79">
      <w:pPr>
        <w:adjustRightInd w:val="0"/>
        <w:snapToGrid w:val="0"/>
        <w:spacing w:line="360" w:lineRule="auto"/>
        <w:jc w:val="center"/>
        <w:rPr>
          <w:rFonts w:ascii="仿宋" w:eastAsia="仿宋"/>
          <w:b/>
          <w:sz w:val="24"/>
        </w:rPr>
      </w:pPr>
      <w:bookmarkStart w:id="25" w:name="_Toc57503987"/>
      <w:bookmarkStart w:id="26" w:name="_Toc60730644"/>
      <w:bookmarkStart w:id="27" w:name="OLE_LINK146"/>
      <w:bookmarkStart w:id="28" w:name="OLE_LINK145"/>
      <w:r>
        <w:rPr>
          <w:rFonts w:ascii="仿宋" w:eastAsia="仿宋" w:hint="eastAsia"/>
          <w:b/>
          <w:bCs/>
          <w:kern w:val="0"/>
          <w:sz w:val="24"/>
        </w:rPr>
        <w:t>表1 厦门市</w:t>
      </w:r>
      <w:r>
        <w:rPr>
          <w:rFonts w:ascii="仿宋" w:eastAsia="仿宋" w:hint="eastAsia"/>
          <w:b/>
          <w:bCs/>
          <w:sz w:val="24"/>
        </w:rPr>
        <w:t>人力</w:t>
      </w:r>
      <w:r>
        <w:rPr>
          <w:rFonts w:ascii="仿宋" w:eastAsia="仿宋" w:hint="eastAsia"/>
          <w:b/>
          <w:sz w:val="24"/>
        </w:rPr>
        <w:t>资源和社会保障事业发展“十三五”时期主要指标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6"/>
        <w:gridCol w:w="5387"/>
        <w:gridCol w:w="1134"/>
        <w:gridCol w:w="1201"/>
        <w:gridCol w:w="1206"/>
      </w:tblGrid>
      <w:tr w:rsidR="00621FC3">
        <w:trPr>
          <w:trHeight w:val="567"/>
          <w:jc w:val="center"/>
        </w:trPr>
        <w:tc>
          <w:tcPr>
            <w:tcW w:w="886" w:type="dxa"/>
            <w:vMerge w:val="restart"/>
            <w:vAlign w:val="center"/>
          </w:tcPr>
          <w:p w:rsidR="00621FC3" w:rsidRDefault="00F76B79">
            <w:pPr>
              <w:widowControl/>
              <w:adjustRightInd w:val="0"/>
              <w:snapToGrid w:val="0"/>
              <w:jc w:val="center"/>
              <w:rPr>
                <w:rFonts w:ascii="仿宋" w:eastAsia="仿宋" w:cs="宋体"/>
                <w:kern w:val="0"/>
                <w:sz w:val="22"/>
              </w:rPr>
            </w:pPr>
            <w:bookmarkStart w:id="29" w:name="OLE_LINK244"/>
            <w:bookmarkStart w:id="30" w:name="OLE_LINK243"/>
            <w:r>
              <w:rPr>
                <w:rFonts w:ascii="仿宋" w:eastAsia="仿宋" w:cs="宋体" w:hint="eastAsia"/>
                <w:kern w:val="0"/>
                <w:sz w:val="22"/>
              </w:rPr>
              <w:t>序号</w:t>
            </w:r>
          </w:p>
        </w:tc>
        <w:tc>
          <w:tcPr>
            <w:tcW w:w="5387" w:type="dxa"/>
            <w:vMerge w:val="restart"/>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指标</w:t>
            </w:r>
          </w:p>
        </w:tc>
        <w:tc>
          <w:tcPr>
            <w:tcW w:w="1134" w:type="dxa"/>
            <w:vMerge w:val="restart"/>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单位</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2015年末</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2020年末</w:t>
            </w:r>
          </w:p>
        </w:tc>
      </w:tr>
      <w:tr w:rsidR="00621FC3">
        <w:trPr>
          <w:trHeight w:val="567"/>
          <w:jc w:val="center"/>
        </w:trPr>
        <w:tc>
          <w:tcPr>
            <w:tcW w:w="886" w:type="dxa"/>
            <w:vMerge/>
            <w:vAlign w:val="center"/>
          </w:tcPr>
          <w:p w:rsidR="00621FC3" w:rsidRDefault="00621FC3"/>
        </w:tc>
        <w:tc>
          <w:tcPr>
            <w:tcW w:w="5387" w:type="dxa"/>
            <w:vMerge/>
            <w:vAlign w:val="center"/>
          </w:tcPr>
          <w:p w:rsidR="00621FC3" w:rsidRDefault="00621FC3"/>
        </w:tc>
        <w:tc>
          <w:tcPr>
            <w:tcW w:w="1134" w:type="dxa"/>
            <w:vMerge/>
            <w:vAlign w:val="center"/>
          </w:tcPr>
          <w:p w:rsidR="00621FC3" w:rsidRDefault="00621FC3"/>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基数</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实际</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一</w:t>
            </w:r>
          </w:p>
        </w:tc>
        <w:tc>
          <w:tcPr>
            <w:tcW w:w="8928" w:type="dxa"/>
            <w:gridSpan w:val="4"/>
            <w:vAlign w:val="center"/>
          </w:tcPr>
          <w:p w:rsidR="00621FC3" w:rsidRDefault="00F76B79">
            <w:pPr>
              <w:widowControl/>
              <w:adjustRightInd w:val="0"/>
              <w:snapToGrid w:val="0"/>
              <w:jc w:val="left"/>
              <w:rPr>
                <w:rFonts w:ascii="仿宋" w:eastAsia="仿宋" w:cs="宋体"/>
                <w:kern w:val="0"/>
                <w:sz w:val="24"/>
              </w:rPr>
            </w:pPr>
            <w:r>
              <w:rPr>
                <w:rFonts w:ascii="仿宋" w:eastAsia="仿宋" w:cs="宋体" w:hint="eastAsia"/>
                <w:b/>
                <w:bCs/>
                <w:kern w:val="0"/>
                <w:sz w:val="24"/>
              </w:rPr>
              <w:t>就业促进</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城镇新增就业人数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201" w:type="dxa"/>
            <w:vAlign w:val="center"/>
          </w:tcPr>
          <w:p w:rsidR="00621FC3" w:rsidRDefault="00F76B79">
            <w:pPr>
              <w:widowControl/>
              <w:adjustRightInd w:val="0"/>
              <w:snapToGrid w:val="0"/>
              <w:ind w:firstLineChars="50" w:firstLine="110"/>
              <w:jc w:val="center"/>
              <w:rPr>
                <w:rFonts w:ascii="仿宋" w:eastAsia="仿宋" w:cs="宋体"/>
                <w:kern w:val="0"/>
                <w:sz w:val="22"/>
              </w:rPr>
            </w:pPr>
            <w:r>
              <w:rPr>
                <w:rFonts w:ascii="仿宋" w:eastAsia="仿宋" w:cs="宋体" w:hint="eastAsia"/>
                <w:kern w:val="0"/>
                <w:sz w:val="22"/>
              </w:rPr>
              <w:t>91.2/五年</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117.17/五年</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 xml:space="preserve">城镇失业人员再就业人数 </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30.3/五年</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50.57/五年</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其中：城镇就业困难人员就业人数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201" w:type="dxa"/>
          </w:tcPr>
          <w:p w:rsidR="00621FC3" w:rsidRDefault="00F76B79">
            <w:pPr>
              <w:jc w:val="center"/>
            </w:pPr>
            <w:r>
              <w:rPr>
                <w:rFonts w:ascii="仿宋" w:eastAsia="仿宋" w:cs="宋体" w:hint="eastAsia"/>
                <w:kern w:val="0"/>
                <w:sz w:val="22"/>
              </w:rPr>
              <w:t>7.19/五年</w:t>
            </w:r>
          </w:p>
        </w:tc>
        <w:tc>
          <w:tcPr>
            <w:tcW w:w="1206" w:type="dxa"/>
          </w:tcPr>
          <w:p w:rsidR="00621FC3" w:rsidRDefault="00F76B79">
            <w:pPr>
              <w:jc w:val="center"/>
            </w:pPr>
            <w:r>
              <w:rPr>
                <w:rFonts w:ascii="仿宋" w:eastAsia="仿宋" w:cs="宋体" w:hint="eastAsia"/>
                <w:kern w:val="0"/>
                <w:sz w:val="22"/>
              </w:rPr>
              <w:t>7.79/五年</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4</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城镇登记失业人数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2.55</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9.66</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5</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城镇登记失业率</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3.22</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kern w:val="0"/>
                <w:sz w:val="22"/>
              </w:rPr>
              <w:t>3.</w:t>
            </w:r>
            <w:r>
              <w:rPr>
                <w:rFonts w:ascii="仿宋" w:eastAsia="仿宋" w:cs="宋体" w:hint="eastAsia"/>
                <w:kern w:val="0"/>
                <w:sz w:val="22"/>
              </w:rPr>
              <w:t>84</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职业技能培训人数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201" w:type="dxa"/>
          </w:tcPr>
          <w:p w:rsidR="00621FC3" w:rsidRDefault="00F76B79">
            <w:pPr>
              <w:jc w:val="center"/>
            </w:pPr>
            <w:r>
              <w:rPr>
                <w:rFonts w:ascii="仿宋" w:eastAsia="仿宋" w:cs="宋体" w:hint="eastAsia"/>
                <w:kern w:val="0"/>
                <w:sz w:val="22"/>
              </w:rPr>
              <w:t>18.8/五年</w:t>
            </w:r>
          </w:p>
        </w:tc>
        <w:tc>
          <w:tcPr>
            <w:tcW w:w="1206" w:type="dxa"/>
          </w:tcPr>
          <w:p w:rsidR="00621FC3" w:rsidRDefault="00F76B79">
            <w:pPr>
              <w:jc w:val="center"/>
            </w:pPr>
            <w:r>
              <w:rPr>
                <w:rFonts w:ascii="仿宋" w:eastAsia="仿宋" w:cs="宋体" w:hint="eastAsia"/>
                <w:kern w:val="0"/>
                <w:sz w:val="22"/>
              </w:rPr>
              <w:t>23.7/五年</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二</w:t>
            </w:r>
          </w:p>
        </w:tc>
        <w:tc>
          <w:tcPr>
            <w:tcW w:w="8928" w:type="dxa"/>
            <w:gridSpan w:val="4"/>
            <w:vAlign w:val="center"/>
          </w:tcPr>
          <w:p w:rsidR="00621FC3" w:rsidRDefault="00F76B79">
            <w:pPr>
              <w:widowControl/>
              <w:adjustRightInd w:val="0"/>
              <w:snapToGrid w:val="0"/>
              <w:rPr>
                <w:rFonts w:ascii="仿宋" w:eastAsia="仿宋" w:cs="宋体"/>
                <w:kern w:val="0"/>
                <w:sz w:val="22"/>
              </w:rPr>
            </w:pPr>
            <w:r>
              <w:rPr>
                <w:rFonts w:ascii="仿宋" w:eastAsia="仿宋" w:cs="宋体" w:hint="eastAsia"/>
                <w:b/>
                <w:bCs/>
                <w:kern w:val="0"/>
                <w:sz w:val="22"/>
              </w:rPr>
              <w:t>人才建设</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7</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新增专业技术人才人数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6.1/五年</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6.4/五年</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8</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新增高技能人才人数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6.24/五年</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6.55/五年</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三</w:t>
            </w:r>
          </w:p>
        </w:tc>
        <w:tc>
          <w:tcPr>
            <w:tcW w:w="8928" w:type="dxa"/>
            <w:gridSpan w:val="4"/>
            <w:vAlign w:val="center"/>
          </w:tcPr>
          <w:p w:rsidR="00621FC3" w:rsidRDefault="00F76B79">
            <w:pPr>
              <w:widowControl/>
              <w:adjustRightInd w:val="0"/>
              <w:snapToGrid w:val="0"/>
              <w:rPr>
                <w:rFonts w:ascii="仿宋" w:eastAsia="仿宋" w:cs="宋体"/>
                <w:kern w:val="0"/>
                <w:sz w:val="22"/>
              </w:rPr>
            </w:pPr>
            <w:r>
              <w:rPr>
                <w:rFonts w:ascii="仿宋" w:eastAsia="仿宋" w:cs="宋体" w:hint="eastAsia"/>
                <w:b/>
                <w:bCs/>
                <w:kern w:val="0"/>
                <w:sz w:val="22"/>
              </w:rPr>
              <w:t>社会保障</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（一）</w:t>
            </w:r>
          </w:p>
        </w:tc>
        <w:tc>
          <w:tcPr>
            <w:tcW w:w="8928" w:type="dxa"/>
            <w:gridSpan w:val="4"/>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b/>
                <w:bCs/>
                <w:kern w:val="0"/>
                <w:sz w:val="22"/>
              </w:rPr>
              <w:t>参保覆盖面</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基本养老保险参保人数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237.14</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344.95</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10</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hAnsi="仿宋" w:cs="宋体" w:hint="eastAsia"/>
                <w:kern w:val="0"/>
                <w:sz w:val="22"/>
              </w:rPr>
              <w:t>城镇职工基本养老保险参保人数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212.18</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318.08</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11</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hAnsi="仿宋" w:cs="宋体" w:hint="eastAsia"/>
                <w:kern w:val="0"/>
                <w:sz w:val="22"/>
              </w:rPr>
              <w:t>（1）企业职工养老保险参保人数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212.18</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306.52</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12</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hAnsi="仿宋" w:cs="宋体" w:hint="eastAsia"/>
                <w:kern w:val="0"/>
                <w:sz w:val="22"/>
              </w:rPr>
              <w:t>（2）机关事业单位职工养老保险参保人数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万人</w:t>
            </w:r>
          </w:p>
        </w:tc>
        <w:tc>
          <w:tcPr>
            <w:tcW w:w="1201" w:type="dxa"/>
            <w:vAlign w:val="center"/>
          </w:tcPr>
          <w:p w:rsidR="00621FC3" w:rsidRDefault="00621FC3">
            <w:pPr>
              <w:widowControl/>
              <w:adjustRightInd w:val="0"/>
              <w:snapToGrid w:val="0"/>
              <w:jc w:val="center"/>
              <w:rPr>
                <w:rFonts w:ascii="仿宋" w:eastAsia="仿宋" w:cs="宋体"/>
                <w:kern w:val="0"/>
                <w:sz w:val="22"/>
              </w:rPr>
            </w:pP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11.56</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kern w:val="0"/>
                <w:sz w:val="22"/>
              </w:rPr>
              <w:t>1</w:t>
            </w:r>
            <w:r>
              <w:rPr>
                <w:rFonts w:ascii="仿宋" w:eastAsia="仿宋" w:cs="宋体" w:hint="eastAsia"/>
                <w:kern w:val="0"/>
                <w:sz w:val="22"/>
              </w:rPr>
              <w:t>3</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失业保险参保人数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182.41</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258.37</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14</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工伤保险参保人数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183.93</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hAnsi="仿宋" w:cs="宋体" w:hint="eastAsia"/>
                <w:kern w:val="0"/>
                <w:sz w:val="22"/>
              </w:rPr>
              <w:t>259.33</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lastRenderedPageBreak/>
              <w:t>（二）</w:t>
            </w:r>
          </w:p>
        </w:tc>
        <w:tc>
          <w:tcPr>
            <w:tcW w:w="8928" w:type="dxa"/>
            <w:gridSpan w:val="4"/>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b/>
                <w:bCs/>
                <w:kern w:val="0"/>
                <w:sz w:val="22"/>
              </w:rPr>
              <w:t>待遇水平</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w:t>
            </w:r>
            <w:r>
              <w:rPr>
                <w:rFonts w:ascii="仿宋" w:eastAsia="仿宋" w:cs="宋体"/>
                <w:kern w:val="0"/>
                <w:sz w:val="22"/>
              </w:rPr>
              <w:t>5</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企业退休人员基础养老金增长率</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kern w:val="0"/>
                <w:sz w:val="22"/>
              </w:rPr>
              <w:t>5</w:t>
            </w:r>
            <w:r>
              <w:rPr>
                <w:rFonts w:ascii="仿宋" w:eastAsia="仿宋" w:cs="宋体" w:hint="eastAsia"/>
                <w:kern w:val="0"/>
                <w:sz w:val="22"/>
              </w:rPr>
              <w:t>/年均</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w:t>
            </w:r>
            <w:r>
              <w:rPr>
                <w:rFonts w:ascii="仿宋" w:eastAsia="仿宋" w:cs="宋体"/>
                <w:kern w:val="0"/>
                <w:sz w:val="22"/>
              </w:rPr>
              <w:t>6</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城乡居民基础养老金</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元/人月</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w:t>
            </w:r>
            <w:r>
              <w:rPr>
                <w:rFonts w:ascii="仿宋" w:eastAsia="仿宋" w:cs="宋体"/>
                <w:kern w:val="0"/>
                <w:sz w:val="22"/>
              </w:rPr>
              <w:t>45</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kern w:val="0"/>
                <w:sz w:val="22"/>
              </w:rPr>
              <w:t>310</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四</w:t>
            </w:r>
          </w:p>
        </w:tc>
        <w:tc>
          <w:tcPr>
            <w:tcW w:w="8928" w:type="dxa"/>
            <w:gridSpan w:val="4"/>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b/>
                <w:bCs/>
                <w:kern w:val="0"/>
                <w:sz w:val="22"/>
              </w:rPr>
              <w:t>劳动关系</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w:t>
            </w:r>
            <w:r>
              <w:rPr>
                <w:rFonts w:ascii="仿宋" w:eastAsia="仿宋" w:cs="宋体"/>
                <w:kern w:val="0"/>
                <w:sz w:val="22"/>
              </w:rPr>
              <w:t>7</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最低工资标准</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元</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1500/月</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1800/月</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18</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劳动保障监察举报投诉案件按期结案率</w:t>
            </w:r>
          </w:p>
        </w:tc>
        <w:tc>
          <w:tcPr>
            <w:tcW w:w="1134" w:type="dxa"/>
          </w:tcPr>
          <w:p w:rsidR="00621FC3" w:rsidRDefault="00F76B79">
            <w:pPr>
              <w:jc w:val="center"/>
            </w:pPr>
            <w:r>
              <w:rPr>
                <w:rFonts w:ascii="仿宋" w:eastAsia="仿宋" w:cs="宋体" w:hint="eastAsia"/>
                <w:kern w:val="0"/>
                <w:sz w:val="22"/>
              </w:rPr>
              <w:t>%</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100</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100</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19</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劳动人事争议调解成功率</w:t>
            </w:r>
          </w:p>
        </w:tc>
        <w:tc>
          <w:tcPr>
            <w:tcW w:w="1134" w:type="dxa"/>
          </w:tcPr>
          <w:p w:rsidR="00621FC3" w:rsidRDefault="00F76B79">
            <w:pPr>
              <w:jc w:val="center"/>
              <w:rPr>
                <w:rFonts w:ascii="仿宋" w:eastAsia="仿宋" w:cs="宋体"/>
                <w:kern w:val="0"/>
                <w:sz w:val="22"/>
              </w:rPr>
            </w:pPr>
            <w:r>
              <w:rPr>
                <w:rFonts w:ascii="仿宋" w:eastAsia="仿宋" w:cs="宋体" w:hint="eastAsia"/>
                <w:kern w:val="0"/>
                <w:sz w:val="22"/>
              </w:rPr>
              <w:t>%</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57.45</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60</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kern w:val="0"/>
                <w:sz w:val="22"/>
              </w:rPr>
              <w:t>2</w:t>
            </w:r>
            <w:r>
              <w:rPr>
                <w:rFonts w:ascii="仿宋" w:eastAsia="仿宋" w:cs="宋体" w:hint="eastAsia"/>
                <w:kern w:val="0"/>
                <w:sz w:val="22"/>
              </w:rPr>
              <w:t>0</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劳动人事争议仲裁（审限）结案率</w:t>
            </w:r>
          </w:p>
        </w:tc>
        <w:tc>
          <w:tcPr>
            <w:tcW w:w="1134" w:type="dxa"/>
          </w:tcPr>
          <w:p w:rsidR="00621FC3" w:rsidRDefault="00F76B79">
            <w:pPr>
              <w:jc w:val="center"/>
              <w:rPr>
                <w:rFonts w:ascii="仿宋" w:eastAsia="仿宋" w:cs="宋体"/>
                <w:kern w:val="0"/>
                <w:sz w:val="22"/>
              </w:rPr>
            </w:pPr>
            <w:r>
              <w:rPr>
                <w:rFonts w:ascii="仿宋" w:eastAsia="仿宋" w:cs="宋体" w:hint="eastAsia"/>
                <w:kern w:val="0"/>
                <w:sz w:val="22"/>
              </w:rPr>
              <w:t>%</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w:t>
            </w:r>
            <w:r>
              <w:rPr>
                <w:rFonts w:ascii="仿宋" w:eastAsia="仿宋" w:cs="宋体"/>
                <w:kern w:val="0"/>
                <w:sz w:val="22"/>
              </w:rPr>
              <w:t>9.35</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kern w:val="0"/>
                <w:sz w:val="22"/>
              </w:rPr>
              <w:t>100</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五</w:t>
            </w:r>
          </w:p>
        </w:tc>
        <w:tc>
          <w:tcPr>
            <w:tcW w:w="8928" w:type="dxa"/>
            <w:gridSpan w:val="4"/>
            <w:vAlign w:val="center"/>
          </w:tcPr>
          <w:p w:rsidR="00621FC3" w:rsidRDefault="00F76B79">
            <w:pPr>
              <w:widowControl/>
              <w:adjustRightInd w:val="0"/>
              <w:snapToGrid w:val="0"/>
              <w:jc w:val="left"/>
              <w:rPr>
                <w:rFonts w:ascii="仿宋" w:eastAsia="仿宋" w:cs="宋体"/>
                <w:b/>
                <w:bCs/>
                <w:kern w:val="0"/>
                <w:sz w:val="22"/>
              </w:rPr>
            </w:pPr>
            <w:r>
              <w:rPr>
                <w:rFonts w:ascii="仿宋" w:eastAsia="仿宋" w:cs="宋体" w:hint="eastAsia"/>
                <w:b/>
                <w:bCs/>
                <w:kern w:val="0"/>
                <w:sz w:val="22"/>
              </w:rPr>
              <w:t>能力建设</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kern w:val="0"/>
                <w:sz w:val="22"/>
              </w:rPr>
              <w:t>2</w:t>
            </w:r>
            <w:r>
              <w:rPr>
                <w:rFonts w:ascii="仿宋" w:eastAsia="仿宋" w:cs="宋体" w:hint="eastAsia"/>
                <w:kern w:val="0"/>
                <w:sz w:val="22"/>
              </w:rPr>
              <w:t>1</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社会保障卡持卡人数</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332</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453</w:t>
            </w:r>
          </w:p>
        </w:tc>
      </w:tr>
      <w:tr w:rsidR="00621FC3">
        <w:trPr>
          <w:trHeight w:val="567"/>
          <w:jc w:val="center"/>
        </w:trPr>
        <w:tc>
          <w:tcPr>
            <w:tcW w:w="88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kern w:val="0"/>
                <w:sz w:val="22"/>
              </w:rPr>
              <w:t>2</w:t>
            </w:r>
            <w:r>
              <w:rPr>
                <w:rFonts w:ascii="仿宋" w:eastAsia="仿宋" w:cs="宋体" w:hint="eastAsia"/>
                <w:kern w:val="0"/>
                <w:sz w:val="22"/>
              </w:rPr>
              <w:t>2</w:t>
            </w:r>
          </w:p>
        </w:tc>
        <w:tc>
          <w:tcPr>
            <w:tcW w:w="5387"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退休人员社会化管理服务率</w:t>
            </w:r>
          </w:p>
        </w:tc>
        <w:tc>
          <w:tcPr>
            <w:tcW w:w="113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201"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99.48</w:t>
            </w:r>
          </w:p>
        </w:tc>
        <w:tc>
          <w:tcPr>
            <w:tcW w:w="1206"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99.99</w:t>
            </w:r>
          </w:p>
        </w:tc>
      </w:tr>
      <w:bookmarkEnd w:id="29"/>
      <w:bookmarkEnd w:id="30"/>
    </w:tbl>
    <w:p w:rsidR="00621FC3" w:rsidRDefault="00621FC3">
      <w:pPr>
        <w:pStyle w:val="3"/>
        <w:spacing w:line="620" w:lineRule="exact"/>
        <w:rPr>
          <w:rFonts w:ascii="楷体_GB2312" w:eastAsia="楷体_GB2312" w:hAnsi="楷体_GB2312" w:cs="楷体_GB2312"/>
          <w:color w:val="auto"/>
        </w:rPr>
      </w:pPr>
    </w:p>
    <w:p w:rsidR="00621FC3" w:rsidRDefault="00F76B79">
      <w:pPr>
        <w:pStyle w:val="3"/>
        <w:spacing w:line="620" w:lineRule="exact"/>
        <w:rPr>
          <w:rFonts w:ascii="楷体_GB2312" w:eastAsia="楷体_GB2312" w:hAnsi="楷体_GB2312" w:cs="楷体_GB2312"/>
          <w:color w:val="auto"/>
        </w:rPr>
      </w:pPr>
      <w:r>
        <w:rPr>
          <w:rFonts w:ascii="楷体_GB2312" w:eastAsia="楷体_GB2312" w:hAnsi="楷体_GB2312" w:cs="楷体_GB2312" w:hint="eastAsia"/>
          <w:color w:val="auto"/>
        </w:rPr>
        <w:t>（二）面临形势</w:t>
      </w:r>
      <w:bookmarkEnd w:id="25"/>
      <w:bookmarkEnd w:id="26"/>
    </w:p>
    <w:bookmarkEnd w:id="27"/>
    <w:bookmarkEnd w:id="28"/>
    <w:p w:rsidR="00621FC3" w:rsidRDefault="00F76B79">
      <w:pPr>
        <w:pStyle w:val="a1"/>
        <w:spacing w:line="620" w:lineRule="exact"/>
        <w:ind w:firstLine="640"/>
        <w:rPr>
          <w:color w:val="auto"/>
        </w:rPr>
      </w:pPr>
      <w:r>
        <w:rPr>
          <w:rFonts w:hint="eastAsia"/>
          <w:color w:val="auto"/>
        </w:rPr>
        <w:t>“十四五”时期是我市开启社会主义现代化建设新征程、全方位推进高质量发展超越的关键五年，人力资源和社会保障事业发展的机遇与挑战都有新的发展变化。党的十八大以来，以习近平同志为核心的党中央把保障和改善民生摆在更加突出位置，高度提升、力度加大、温度增加，为</w:t>
      </w:r>
      <w:bookmarkStart w:id="31" w:name="OLE_LINK582"/>
      <w:bookmarkStart w:id="32" w:name="OLE_LINK583"/>
      <w:r>
        <w:rPr>
          <w:rFonts w:hint="eastAsia"/>
          <w:color w:val="auto"/>
        </w:rPr>
        <w:t>人力资源和社会保障事业发</w:t>
      </w:r>
      <w:bookmarkEnd w:id="31"/>
      <w:bookmarkEnd w:id="32"/>
      <w:r>
        <w:rPr>
          <w:rFonts w:hint="eastAsia"/>
          <w:color w:val="auto"/>
        </w:rPr>
        <w:t>展奠定了坚实保障。“五位一体”总体布局和“四个全面”战略布局的协调推进，为人力资源和社会保障事业发展提供了有利条件。抓“六保”促“六稳”，社会发展新动能不断形成，为人力资源和社会保障事业的发展增添了强大动力。当前国际环境日趋复杂，我国加快构建以</w:t>
      </w:r>
      <w:r>
        <w:rPr>
          <w:rFonts w:hint="eastAsia"/>
          <w:color w:val="auto"/>
        </w:rPr>
        <w:lastRenderedPageBreak/>
        <w:t>国内大循环为主体、国内国际双循环相互促进的新发展格局，科技创新和人口老龄化不断加快，以及我市大力推进高素质高颜值现代化国际化城市建设和金砖国家新工业革命伙伴关系创新基地建设步伐，为我市人力资源和社会保障事业带来了更多机遇和挑战。</w:t>
      </w:r>
    </w:p>
    <w:p w:rsidR="00621FC3" w:rsidRDefault="00F76B79">
      <w:pPr>
        <w:pStyle w:val="a1"/>
        <w:spacing w:line="620" w:lineRule="exact"/>
        <w:ind w:firstLine="643"/>
        <w:rPr>
          <w:color w:val="auto"/>
        </w:rPr>
      </w:pPr>
      <w:r>
        <w:rPr>
          <w:rFonts w:hint="eastAsia"/>
          <w:b/>
          <w:bCs/>
          <w:color w:val="auto"/>
        </w:rPr>
        <w:t>就业促进工作面临新考验。</w:t>
      </w:r>
      <w:bookmarkStart w:id="33" w:name="OLE_LINK250"/>
      <w:bookmarkStart w:id="34" w:name="OLE_LINK249"/>
      <w:r>
        <w:rPr>
          <w:rFonts w:hint="eastAsia"/>
          <w:color w:val="auto"/>
        </w:rPr>
        <w:t>当前，我国经济正处在转变发展方式、优化经济结构、转换增长动能的关键期，正在加快构建以国内大循环为主、国内国际双循环相互促进的新发展格局，经济发展前景向好，但也面临着结构性、体制性、周期性问题相互交织所带来的困难和挑战，加上新冠肺炎疫情冲击以及国际贸易摩擦加剧的影响，经济运行面临较大压力，给本市就业促进工作形成了新的挑战：企业岗位需求萎缩，企业职工待遇增长较慢，促进充分就业难度加大。全球产业链和创新链加速重构，对我市对外贸易、利用外资和部分产业转型升级带来了新的挑战。</w:t>
      </w:r>
      <w:bookmarkStart w:id="35" w:name="OLE_LINK288"/>
      <w:bookmarkStart w:id="36" w:name="OLE_LINK287"/>
      <w:r>
        <w:rPr>
          <w:rFonts w:hint="eastAsia"/>
          <w:color w:val="auto"/>
        </w:rPr>
        <w:t>新就业形态</w:t>
      </w:r>
      <w:bookmarkEnd w:id="35"/>
      <w:bookmarkEnd w:id="36"/>
      <w:r>
        <w:rPr>
          <w:rFonts w:hint="eastAsia"/>
          <w:color w:val="auto"/>
        </w:rPr>
        <w:t>不断涌现，对劳动力技能水平提出新的要求。城市生活成本的增加缩小了与周边城市的实际收入差距，一定程度上稀释了人才吸引力。随着高素质高颜值现代化国际化城市建设的推进，本市被征</w:t>
      </w:r>
      <w:r w:rsidR="00AB3D62">
        <w:rPr>
          <w:rFonts w:hint="eastAsia"/>
          <w:color w:val="auto"/>
        </w:rPr>
        <w:t>地</w:t>
      </w:r>
      <w:r>
        <w:rPr>
          <w:rFonts w:hint="eastAsia"/>
          <w:color w:val="auto"/>
        </w:rPr>
        <w:t>人员、</w:t>
      </w:r>
      <w:bookmarkStart w:id="37" w:name="OLE_LINK290"/>
      <w:bookmarkStart w:id="38" w:name="OLE_LINK289"/>
      <w:r>
        <w:rPr>
          <w:rFonts w:hint="eastAsia"/>
          <w:color w:val="auto"/>
        </w:rPr>
        <w:t>农村富余劳动力</w:t>
      </w:r>
      <w:bookmarkEnd w:id="37"/>
      <w:bookmarkEnd w:id="38"/>
      <w:r>
        <w:rPr>
          <w:rFonts w:hint="eastAsia"/>
          <w:color w:val="auto"/>
        </w:rPr>
        <w:t>就业促进工作的要求提高，任务加重。</w:t>
      </w:r>
      <w:bookmarkEnd w:id="33"/>
      <w:bookmarkEnd w:id="34"/>
    </w:p>
    <w:p w:rsidR="00621FC3" w:rsidRDefault="00F76B79">
      <w:pPr>
        <w:pStyle w:val="a1"/>
        <w:spacing w:line="620" w:lineRule="exact"/>
        <w:ind w:firstLine="643"/>
        <w:rPr>
          <w:b/>
          <w:bCs/>
          <w:color w:val="auto"/>
        </w:rPr>
      </w:pPr>
      <w:bookmarkStart w:id="39" w:name="_Hlk60654571"/>
      <w:r>
        <w:rPr>
          <w:rFonts w:hint="eastAsia"/>
          <w:b/>
          <w:color w:val="auto"/>
        </w:rPr>
        <w:t>人才工作亟待新突破。</w:t>
      </w:r>
      <w:r>
        <w:rPr>
          <w:rFonts w:hint="eastAsia"/>
          <w:color w:val="auto"/>
        </w:rPr>
        <w:t>高素质高颜值现代化国际化城市建设，对各类高端人才及高技能人才提出了全新要求。一线</w:t>
      </w:r>
      <w:r>
        <w:rPr>
          <w:rFonts w:hint="eastAsia"/>
          <w:color w:val="auto"/>
        </w:rPr>
        <w:lastRenderedPageBreak/>
        <w:t>城市对我市高层次人才产生虹吸效应，中西部、二线城市发展增速，这给我市人才引进带来了挑战。人才市场化配置机制还不够灵活，依托市场引才育才工作还需加强。制约和影响人才队伍高质量提升的思想观念和体制机制障碍仍待突破，亟需深化人才工作的改革创新。</w:t>
      </w:r>
      <w:bookmarkEnd w:id="39"/>
    </w:p>
    <w:p w:rsidR="00621FC3" w:rsidRDefault="00F76B79">
      <w:pPr>
        <w:pStyle w:val="a1"/>
        <w:spacing w:line="620" w:lineRule="exact"/>
        <w:ind w:firstLine="643"/>
        <w:rPr>
          <w:color w:val="auto"/>
        </w:rPr>
      </w:pPr>
      <w:r>
        <w:rPr>
          <w:rFonts w:hint="eastAsia"/>
          <w:b/>
          <w:bCs/>
          <w:color w:val="auto"/>
        </w:rPr>
        <w:t>社会保障体系面临新压力。</w:t>
      </w:r>
      <w:r>
        <w:rPr>
          <w:rFonts w:hint="eastAsia"/>
          <w:color w:val="auto"/>
        </w:rPr>
        <w:t>人口老龄化进程加快，经济发展稳中有变，征拆工作任务加大、进度提速，社会保障基金需求增大，给养老保险给付和失业保险给付带来了更大的挑战。被征地人员、农村富余劳动力、就业困难人员、灵活就业人员的社会保障诉求日益凸显，对健全多元社会保障体系、提高保障待遇带来新的压力。在落实企业职工基本养老保险省级统筹及全国统筹过程中，保障和改善参保人员的权益尤为关键。</w:t>
      </w:r>
    </w:p>
    <w:p w:rsidR="00621FC3" w:rsidRDefault="00F76B79">
      <w:pPr>
        <w:pStyle w:val="a1"/>
        <w:spacing w:line="620" w:lineRule="exact"/>
        <w:ind w:firstLine="643"/>
        <w:rPr>
          <w:color w:val="auto"/>
        </w:rPr>
      </w:pPr>
      <w:r>
        <w:rPr>
          <w:rFonts w:hint="eastAsia"/>
          <w:b/>
          <w:bCs/>
          <w:color w:val="auto"/>
        </w:rPr>
        <w:t>居民收入水平亟待新增长。</w:t>
      </w:r>
      <w:r>
        <w:rPr>
          <w:rFonts w:hint="eastAsia"/>
          <w:color w:val="auto"/>
        </w:rPr>
        <w:t>“十三五”期间，我市居民人均可支配收入年均增长8%左右，快于地区生产总值增长0.8个百分点，收入稳居全国前列、全省第一,但与经济社会发展的要求和人民群众的期望相比，居民收入尚待更大幅度更快速度的提高。</w:t>
      </w:r>
    </w:p>
    <w:p w:rsidR="00621FC3" w:rsidRDefault="00F76B79">
      <w:pPr>
        <w:pStyle w:val="a1"/>
        <w:spacing w:line="620" w:lineRule="exact"/>
        <w:ind w:firstLine="643"/>
        <w:rPr>
          <w:color w:val="auto"/>
        </w:rPr>
      </w:pPr>
      <w:r>
        <w:rPr>
          <w:rFonts w:hint="eastAsia"/>
          <w:b/>
          <w:bCs/>
          <w:color w:val="auto"/>
        </w:rPr>
        <w:t>和谐劳动关系建设面临新隐患。</w:t>
      </w:r>
      <w:r>
        <w:rPr>
          <w:rFonts w:hint="eastAsia"/>
          <w:color w:val="auto"/>
        </w:rPr>
        <w:t>受国际贸易争端及台海局势等因素的影响，</w:t>
      </w:r>
      <w:r>
        <w:rPr>
          <w:rFonts w:hint="eastAsia"/>
          <w:bCs/>
          <w:color w:val="auto"/>
        </w:rPr>
        <w:t>全市</w:t>
      </w:r>
      <w:r>
        <w:rPr>
          <w:rFonts w:hint="eastAsia"/>
          <w:color w:val="auto"/>
        </w:rPr>
        <w:t>部分出口外向型、航运行业、旅游会展行业、中小微企业用工需求的不确定因素增多。计算机与通讯设备、半导体和集成电路、机械装备等高端制造业稳</w:t>
      </w:r>
      <w:r>
        <w:rPr>
          <w:rFonts w:hint="eastAsia"/>
          <w:color w:val="auto"/>
        </w:rPr>
        <w:lastRenderedPageBreak/>
        <w:t>岗风险加大。随着国内劳资双方维权意识的不断提高，劳动纠纷隐患增加。建筑领域、装修及改造工程纠纷多发，层层转包及工程款结算纠纷引发的以讨薪名义讨要工程款（承包款）的纠纷难以彻底解决。自媒体、电商、电竞等新业态下用工形式呈现出灵活化、多样化特征，数字化建设不断推进生产要素供给方式创新，对劳动关系调处、劳动执法（劳动保障监察）以及劳动争议仲裁等工作带来了新的挑战。</w:t>
      </w:r>
    </w:p>
    <w:p w:rsidR="00621FC3" w:rsidRDefault="00F76B79">
      <w:pPr>
        <w:pStyle w:val="a1"/>
        <w:spacing w:line="620" w:lineRule="exact"/>
        <w:ind w:firstLine="643"/>
        <w:rPr>
          <w:color w:val="auto"/>
        </w:rPr>
      </w:pPr>
      <w:r>
        <w:rPr>
          <w:rFonts w:hint="eastAsia"/>
          <w:b/>
          <w:bCs/>
          <w:color w:val="auto"/>
        </w:rPr>
        <w:t>公共服务面临新要求。</w:t>
      </w:r>
      <w:r>
        <w:rPr>
          <w:rFonts w:hint="eastAsia"/>
          <w:color w:val="auto"/>
        </w:rPr>
        <w:t>人社系统信息化、智能化及掌上化水平尚不能完全满足人社服务全面提升的新需求，就业信息系统、社会保险系统、劳动监察仲裁信息系统等系统之间互联互通建设仍需加快推进，线上调解服务系统和应急服务机制尚待完善。新兴业态行业用工信息采集和关键要素存证系统亟待开发。退休人员档案电子化管理工作和场景化运用体系尚待健全。涉台人才人事管理及劳动争议创新处理机制仍待探索。人力资源和社会保障工作仍需进一步满足群众需求，自身队伍建设以及整体服务能力提升的要求不断提高。</w:t>
      </w:r>
    </w:p>
    <w:p w:rsidR="00621FC3" w:rsidRDefault="00F76B79" w:rsidP="002C3AF5">
      <w:pPr>
        <w:pStyle w:val="2"/>
        <w:spacing w:line="620" w:lineRule="exact"/>
        <w:ind w:firstLine="640"/>
        <w:rPr>
          <w:b w:val="0"/>
          <w:bCs w:val="0"/>
          <w:color w:val="auto"/>
        </w:rPr>
      </w:pPr>
      <w:bookmarkStart w:id="40" w:name="_Toc57503988"/>
      <w:bookmarkStart w:id="41" w:name="_Toc60730645"/>
      <w:r>
        <w:rPr>
          <w:rFonts w:hint="eastAsia"/>
          <w:b w:val="0"/>
          <w:bCs w:val="0"/>
          <w:color w:val="auto"/>
        </w:rPr>
        <w:t>二、指导思想、基本原则与发展目标</w:t>
      </w:r>
      <w:bookmarkEnd w:id="40"/>
      <w:bookmarkEnd w:id="41"/>
    </w:p>
    <w:p w:rsidR="00621FC3" w:rsidRDefault="00F76B79">
      <w:pPr>
        <w:pStyle w:val="3"/>
        <w:spacing w:line="620" w:lineRule="exact"/>
        <w:rPr>
          <w:rFonts w:ascii="楷体_GB2312" w:eastAsia="楷体_GB2312" w:hAnsi="楷体_GB2312" w:cs="楷体_GB2312"/>
          <w:color w:val="auto"/>
        </w:rPr>
      </w:pPr>
      <w:bookmarkStart w:id="42" w:name="_Toc60730646"/>
      <w:bookmarkStart w:id="43" w:name="_Toc57503989"/>
      <w:r>
        <w:rPr>
          <w:rFonts w:ascii="楷体_GB2312" w:eastAsia="楷体_GB2312" w:hAnsi="楷体_GB2312" w:cs="楷体_GB2312" w:hint="eastAsia"/>
          <w:color w:val="auto"/>
        </w:rPr>
        <w:t>（一）指导思想</w:t>
      </w:r>
      <w:bookmarkEnd w:id="42"/>
      <w:bookmarkEnd w:id="43"/>
    </w:p>
    <w:p w:rsidR="00621FC3" w:rsidRDefault="00F76B79">
      <w:pPr>
        <w:adjustRightInd w:val="0"/>
        <w:snapToGrid w:val="0"/>
        <w:spacing w:line="620" w:lineRule="exact"/>
        <w:ind w:firstLineChars="200" w:firstLine="640"/>
        <w:rPr>
          <w:rFonts w:ascii="仿宋_GB2312" w:eastAsia="仿宋_GB2312" w:cs="仿宋_GB2312"/>
          <w:sz w:val="32"/>
          <w:szCs w:val="31"/>
        </w:rPr>
      </w:pPr>
      <w:r>
        <w:rPr>
          <w:rFonts w:ascii="仿宋_GB2312" w:eastAsia="仿宋_GB2312" w:cs="仿宋_GB2312" w:hint="eastAsia"/>
          <w:sz w:val="32"/>
          <w:szCs w:val="31"/>
        </w:rPr>
        <w:t>以习近平新时代中国特色社会主义思想为指导，</w:t>
      </w:r>
      <w:bookmarkStart w:id="44" w:name="OLE_LINK16"/>
      <w:bookmarkStart w:id="45" w:name="OLE_LINK15"/>
      <w:r>
        <w:rPr>
          <w:rFonts w:ascii="仿宋_GB2312" w:eastAsia="仿宋_GB2312" w:cs="仿宋_GB2312" w:hint="eastAsia"/>
          <w:sz w:val="32"/>
          <w:szCs w:val="31"/>
        </w:rPr>
        <w:t>全面贯彻党的十九大和十九届二中、三中、四中、五中全会精神</w:t>
      </w:r>
      <w:bookmarkEnd w:id="44"/>
      <w:bookmarkEnd w:id="45"/>
      <w:r>
        <w:rPr>
          <w:rFonts w:ascii="仿宋_GB2312" w:eastAsia="仿宋_GB2312" w:cs="仿宋_GB2312" w:hint="eastAsia"/>
          <w:sz w:val="32"/>
          <w:szCs w:val="31"/>
        </w:rPr>
        <w:t>，按照“五位一体”总体布局和“四个全面”战略布局，牢固树立创新、协调、绿色、开放、共享五大发展理念，落实省</w:t>
      </w:r>
      <w:r>
        <w:rPr>
          <w:rFonts w:ascii="仿宋_GB2312" w:eastAsia="仿宋_GB2312" w:cs="仿宋_GB2312" w:hint="eastAsia"/>
          <w:sz w:val="32"/>
          <w:szCs w:val="31"/>
        </w:rPr>
        <w:lastRenderedPageBreak/>
        <w:t>委省政府和市委市政府的工作部署，坚持稳中求进，</w:t>
      </w:r>
      <w:bookmarkStart w:id="46" w:name="OLE_LINK7"/>
      <w:bookmarkStart w:id="47" w:name="OLE_LINK6"/>
      <w:r>
        <w:rPr>
          <w:rFonts w:ascii="仿宋_GB2312" w:eastAsia="仿宋_GB2312" w:cs="仿宋_GB2312" w:hint="eastAsia"/>
          <w:color w:val="000000"/>
          <w:sz w:val="32"/>
          <w:szCs w:val="31"/>
        </w:rPr>
        <w:t>积极服务和深度融入新发展格局，以高质量党建引领和保障高质量发展</w:t>
      </w:r>
      <w:bookmarkEnd w:id="46"/>
      <w:bookmarkEnd w:id="47"/>
      <w:r>
        <w:rPr>
          <w:rFonts w:ascii="仿宋_GB2312" w:eastAsia="仿宋_GB2312" w:cs="仿宋_GB2312" w:hint="eastAsia"/>
          <w:sz w:val="32"/>
          <w:szCs w:val="31"/>
        </w:rPr>
        <w:t>，促进就业创业，完善社会保障体系，加快人才队伍建设，深化人事制度改革，完善工资收入分配制度，构建和谐劳动关系，推动“六稳”工作、“六保”任务在人社领域落深落细落实，实现人力资源和社会保障工作整体超越，推动民生福祉达到新水平，增强人民群众获得感、幸福感、安全感，为</w:t>
      </w:r>
      <w:bookmarkStart w:id="48" w:name="OLE_LINK52"/>
      <w:bookmarkStart w:id="49" w:name="OLE_LINK53"/>
      <w:r>
        <w:rPr>
          <w:rFonts w:ascii="仿宋_GB2312" w:eastAsia="仿宋_GB2312" w:cs="仿宋_GB2312" w:hint="eastAsia"/>
          <w:sz w:val="32"/>
          <w:szCs w:val="31"/>
        </w:rPr>
        <w:t>全方位推进高质量发展超越、打造高质量发展引领示范区、全面建设社会主义现代化国家的厦门篇章</w:t>
      </w:r>
      <w:bookmarkEnd w:id="48"/>
      <w:bookmarkEnd w:id="49"/>
      <w:r>
        <w:rPr>
          <w:rFonts w:ascii="仿宋_GB2312" w:eastAsia="仿宋_GB2312" w:cs="仿宋_GB2312" w:hint="eastAsia"/>
          <w:sz w:val="32"/>
          <w:szCs w:val="31"/>
        </w:rPr>
        <w:t>贡献人社力量。</w:t>
      </w:r>
    </w:p>
    <w:p w:rsidR="00621FC3" w:rsidRDefault="00F76B79">
      <w:pPr>
        <w:pStyle w:val="3"/>
        <w:spacing w:line="620" w:lineRule="exact"/>
        <w:rPr>
          <w:rFonts w:ascii="楷体_GB2312" w:eastAsia="楷体_GB2312" w:hAnsi="楷体_GB2312" w:cs="楷体_GB2312"/>
          <w:color w:val="auto"/>
        </w:rPr>
      </w:pPr>
      <w:bookmarkStart w:id="50" w:name="_Toc60730647"/>
      <w:bookmarkStart w:id="51" w:name="_Toc57503990"/>
      <w:r>
        <w:rPr>
          <w:rFonts w:ascii="楷体_GB2312" w:eastAsia="楷体_GB2312" w:hAnsi="楷体_GB2312" w:cs="楷体_GB2312" w:hint="eastAsia"/>
          <w:color w:val="auto"/>
        </w:rPr>
        <w:t>（二）基本原则</w:t>
      </w:r>
      <w:bookmarkEnd w:id="50"/>
      <w:bookmarkEnd w:id="51"/>
    </w:p>
    <w:p w:rsidR="00621FC3" w:rsidRDefault="00F76B79">
      <w:pPr>
        <w:pStyle w:val="a0"/>
        <w:adjustRightInd w:val="0"/>
        <w:snapToGrid w:val="0"/>
        <w:spacing w:line="620" w:lineRule="exact"/>
        <w:ind w:firstLine="643"/>
        <w:rPr>
          <w:rFonts w:ascii="仿宋_GB2312" w:eastAsia="仿宋_GB2312" w:cs="仿宋_GB2312"/>
          <w:kern w:val="0"/>
          <w:sz w:val="32"/>
          <w:szCs w:val="32"/>
        </w:rPr>
      </w:pPr>
      <w:r>
        <w:rPr>
          <w:rFonts w:ascii="仿宋_GB2312" w:eastAsia="仿宋_GB2312" w:cs="仿宋_GB2312" w:hint="eastAsia"/>
          <w:b/>
          <w:bCs/>
          <w:kern w:val="0"/>
          <w:sz w:val="32"/>
          <w:szCs w:val="32"/>
        </w:rPr>
        <w:t>坚持服务大局。</w:t>
      </w:r>
      <w:r>
        <w:rPr>
          <w:rFonts w:ascii="仿宋_GB2312" w:eastAsia="仿宋_GB2312" w:cs="仿宋_GB2312" w:hint="eastAsia"/>
          <w:kern w:val="0"/>
          <w:sz w:val="32"/>
          <w:szCs w:val="32"/>
        </w:rPr>
        <w:t>坚持党的</w:t>
      </w:r>
      <w:r>
        <w:rPr>
          <w:rFonts w:eastAsia="仿宋_GB2312" w:hint="eastAsia"/>
          <w:sz w:val="32"/>
          <w:szCs w:val="32"/>
          <w:shd w:val="clear" w:color="auto" w:fill="FFFFFF"/>
        </w:rPr>
        <w:t>领导，牢固树立高度自觉的大局意识，把人社工作放到我市改革发展大局及世界百年未有之大变局中去思考与定位，紧紧围绕“提升本岛、跨岛发展”以及高素质高颜值现代化国际化发展战略，</w:t>
      </w:r>
      <w:r>
        <w:rPr>
          <w:rFonts w:ascii="仿宋_GB2312" w:eastAsia="仿宋_GB2312" w:cs="仿宋_GB2312" w:hint="eastAsia"/>
          <w:kern w:val="0"/>
          <w:sz w:val="32"/>
          <w:szCs w:val="32"/>
        </w:rPr>
        <w:t>努力完成人力资源和社会保障各项工作，为厦门市经济社会全方位高质量发展超越奠定基础。</w:t>
      </w:r>
    </w:p>
    <w:p w:rsidR="00621FC3" w:rsidRDefault="00F76B79" w:rsidP="002C3AF5">
      <w:pPr>
        <w:adjustRightInd w:val="0"/>
        <w:snapToGrid w:val="0"/>
        <w:spacing w:line="620" w:lineRule="exact"/>
        <w:ind w:firstLineChars="200" w:firstLine="643"/>
        <w:rPr>
          <w:rFonts w:ascii="仿宋_GB2312" w:eastAsia="仿宋_GB2312" w:cs="仿宋_GB2312"/>
          <w:kern w:val="0"/>
          <w:sz w:val="32"/>
          <w:szCs w:val="32"/>
        </w:rPr>
      </w:pPr>
      <w:r>
        <w:rPr>
          <w:rFonts w:ascii="仿宋_GB2312" w:eastAsia="仿宋_GB2312" w:cs="仿宋_GB2312" w:hint="eastAsia"/>
          <w:b/>
          <w:bCs/>
          <w:kern w:val="0"/>
          <w:sz w:val="32"/>
          <w:szCs w:val="32"/>
        </w:rPr>
        <w:t>坚持以民为本。</w:t>
      </w:r>
      <w:r>
        <w:rPr>
          <w:rFonts w:ascii="仿宋_GB2312" w:eastAsia="仿宋_GB2312" w:cs="仿宋_GB2312" w:hint="eastAsia"/>
          <w:kern w:val="0"/>
          <w:sz w:val="32"/>
          <w:szCs w:val="32"/>
        </w:rPr>
        <w:t>贯彻发展为了人民、发展依靠人民、发展成果由人民共享理念，将凝聚民心、改善民生作为出发点与落脚点，着力解决人民群众最直接、最关心、最现实的利益问题。听取民众意见，增强人社治理能力，促就业、稳保障、优人才、维公平，提升公共服务水平，切实提高本市居</w:t>
      </w:r>
      <w:r>
        <w:rPr>
          <w:rFonts w:ascii="仿宋_GB2312" w:eastAsia="仿宋_GB2312" w:cs="仿宋_GB2312" w:hint="eastAsia"/>
          <w:kern w:val="0"/>
          <w:sz w:val="32"/>
          <w:szCs w:val="32"/>
        </w:rPr>
        <w:lastRenderedPageBreak/>
        <w:t>民在共享共治中的获得感，增进民生福祉，促进社会和谐稳定。</w:t>
      </w:r>
    </w:p>
    <w:p w:rsidR="00621FC3" w:rsidRDefault="00F76B79">
      <w:pPr>
        <w:pStyle w:val="a0"/>
        <w:adjustRightInd w:val="0"/>
        <w:snapToGrid w:val="0"/>
        <w:spacing w:line="620" w:lineRule="exact"/>
        <w:ind w:firstLine="643"/>
        <w:rPr>
          <w:rFonts w:ascii="仿宋_GB2312" w:eastAsia="仿宋_GB2312" w:cs="仿宋_GB2312"/>
          <w:kern w:val="0"/>
          <w:sz w:val="32"/>
          <w:szCs w:val="32"/>
        </w:rPr>
      </w:pPr>
      <w:r>
        <w:rPr>
          <w:rFonts w:ascii="仿宋_GB2312" w:eastAsia="仿宋_GB2312" w:cs="仿宋_GB2312" w:hint="eastAsia"/>
          <w:b/>
          <w:bCs/>
          <w:kern w:val="0"/>
          <w:sz w:val="32"/>
          <w:szCs w:val="32"/>
        </w:rPr>
        <w:t>坚持创新引领。</w:t>
      </w:r>
      <w:r>
        <w:rPr>
          <w:rFonts w:ascii="仿宋_GB2312" w:eastAsia="仿宋_GB2312" w:cs="仿宋_GB2312" w:hint="eastAsia"/>
          <w:kern w:val="0"/>
          <w:sz w:val="32"/>
          <w:szCs w:val="32"/>
        </w:rPr>
        <w:t>坚持制度创新、政策创新</w:t>
      </w:r>
      <w:r w:rsidR="00792CAC">
        <w:rPr>
          <w:rFonts w:ascii="仿宋_GB2312" w:eastAsia="仿宋_GB2312" w:cs="仿宋_GB2312" w:hint="eastAsia"/>
          <w:kern w:val="0"/>
          <w:sz w:val="32"/>
          <w:szCs w:val="32"/>
        </w:rPr>
        <w:t>，注重集聚人才、</w:t>
      </w:r>
      <w:r>
        <w:rPr>
          <w:rFonts w:ascii="仿宋_GB2312" w:eastAsia="仿宋_GB2312" w:cs="仿宋_GB2312" w:hint="eastAsia"/>
          <w:kern w:val="0"/>
          <w:sz w:val="32"/>
          <w:szCs w:val="32"/>
        </w:rPr>
        <w:t>发挥人才优势，完善人才发展机制。加快完善高技能、高层次的人才队伍建设，营造有利人才成长、更好发挥作用的政策制度环境，激发人才潜力，释放创新活力，增强发展动力，促进就业创业，助力区域创新中心建设。</w:t>
      </w:r>
    </w:p>
    <w:p w:rsidR="00621FC3" w:rsidRDefault="00F76B79" w:rsidP="002C3AF5">
      <w:pPr>
        <w:adjustRightInd w:val="0"/>
        <w:snapToGrid w:val="0"/>
        <w:spacing w:line="620" w:lineRule="exact"/>
        <w:ind w:firstLineChars="200" w:firstLine="643"/>
        <w:rPr>
          <w:rFonts w:eastAsia="仿宋_GB2312"/>
          <w:kern w:val="0"/>
          <w:sz w:val="32"/>
          <w:szCs w:val="32"/>
        </w:rPr>
      </w:pPr>
      <w:r>
        <w:rPr>
          <w:rFonts w:eastAsia="仿宋_GB2312" w:hint="eastAsia"/>
          <w:b/>
          <w:bCs/>
          <w:sz w:val="32"/>
          <w:szCs w:val="32"/>
          <w:shd w:val="clear" w:color="auto" w:fill="FFFFFF"/>
        </w:rPr>
        <w:t>坚持统筹协调。</w:t>
      </w:r>
      <w:r>
        <w:rPr>
          <w:rFonts w:ascii="仿宋_GB2312" w:eastAsia="仿宋_GB2312" w:hint="eastAsia"/>
          <w:sz w:val="32"/>
          <w:szCs w:val="32"/>
        </w:rPr>
        <w:t>主动适应和引领经济发展新格局，统筹城乡区域人力资源和社会保障体系建设，强化就业优先政策，</w:t>
      </w:r>
      <w:r>
        <w:rPr>
          <w:rFonts w:eastAsia="仿宋_GB2312" w:hint="eastAsia"/>
          <w:kern w:val="0"/>
          <w:sz w:val="32"/>
          <w:szCs w:val="32"/>
        </w:rPr>
        <w:t>全方位</w:t>
      </w:r>
      <w:r>
        <w:rPr>
          <w:rFonts w:eastAsia="仿宋_GB2312"/>
          <w:kern w:val="0"/>
          <w:sz w:val="32"/>
          <w:szCs w:val="32"/>
        </w:rPr>
        <w:t>推进各类人才队伍建设，</w:t>
      </w:r>
      <w:r>
        <w:rPr>
          <w:rFonts w:eastAsia="仿宋_GB2312" w:hint="eastAsia"/>
          <w:kern w:val="0"/>
          <w:sz w:val="32"/>
          <w:szCs w:val="32"/>
        </w:rPr>
        <w:t>兼顾多层次社会保障体系的健全与社会保障水平的提升</w:t>
      </w:r>
      <w:r>
        <w:rPr>
          <w:rFonts w:eastAsia="仿宋_GB2312"/>
          <w:kern w:val="0"/>
          <w:sz w:val="32"/>
          <w:szCs w:val="32"/>
        </w:rPr>
        <w:t>，</w:t>
      </w:r>
      <w:r>
        <w:rPr>
          <w:rFonts w:eastAsia="仿宋_GB2312" w:hint="eastAsia"/>
          <w:kern w:val="0"/>
          <w:sz w:val="32"/>
          <w:szCs w:val="32"/>
        </w:rPr>
        <w:t>以保障</w:t>
      </w:r>
      <w:r>
        <w:rPr>
          <w:rFonts w:eastAsia="仿宋_GB2312"/>
          <w:kern w:val="0"/>
          <w:sz w:val="32"/>
          <w:szCs w:val="32"/>
        </w:rPr>
        <w:t>劳动者</w:t>
      </w:r>
      <w:bookmarkStart w:id="52" w:name="OLE_LINK47"/>
      <w:bookmarkStart w:id="53" w:name="OLE_LINK46"/>
      <w:r>
        <w:rPr>
          <w:rFonts w:eastAsia="仿宋_GB2312"/>
          <w:kern w:val="0"/>
          <w:sz w:val="32"/>
          <w:szCs w:val="32"/>
        </w:rPr>
        <w:t>合法权</w:t>
      </w:r>
      <w:bookmarkEnd w:id="52"/>
      <w:bookmarkEnd w:id="53"/>
      <w:r>
        <w:rPr>
          <w:rFonts w:eastAsia="仿宋_GB2312"/>
          <w:kern w:val="0"/>
          <w:sz w:val="32"/>
          <w:szCs w:val="32"/>
        </w:rPr>
        <w:t>益和促进企业发展</w:t>
      </w:r>
      <w:r>
        <w:rPr>
          <w:rFonts w:eastAsia="仿宋_GB2312" w:hint="eastAsia"/>
          <w:kern w:val="0"/>
          <w:sz w:val="32"/>
          <w:szCs w:val="32"/>
        </w:rPr>
        <w:t>相结合促进劳动关系稳定和谐，推动居民收入与经济同步增长，</w:t>
      </w:r>
      <w:r>
        <w:rPr>
          <w:rFonts w:eastAsia="仿宋_GB2312"/>
          <w:kern w:val="0"/>
          <w:sz w:val="32"/>
          <w:szCs w:val="32"/>
        </w:rPr>
        <w:t>实现人力资源和社会保障事业</w:t>
      </w:r>
      <w:r>
        <w:rPr>
          <w:rFonts w:eastAsia="仿宋_GB2312" w:hint="eastAsia"/>
          <w:kern w:val="0"/>
          <w:sz w:val="32"/>
          <w:szCs w:val="32"/>
        </w:rPr>
        <w:t>全面、</w:t>
      </w:r>
      <w:r>
        <w:rPr>
          <w:rFonts w:eastAsia="仿宋_GB2312"/>
          <w:kern w:val="0"/>
          <w:sz w:val="32"/>
          <w:szCs w:val="32"/>
        </w:rPr>
        <w:t>协调</w:t>
      </w:r>
      <w:r>
        <w:rPr>
          <w:rFonts w:eastAsia="仿宋_GB2312" w:hint="eastAsia"/>
          <w:kern w:val="0"/>
          <w:sz w:val="32"/>
          <w:szCs w:val="32"/>
        </w:rPr>
        <w:t>、可持续</w:t>
      </w:r>
      <w:r>
        <w:rPr>
          <w:rFonts w:eastAsia="仿宋_GB2312"/>
          <w:kern w:val="0"/>
          <w:sz w:val="32"/>
          <w:szCs w:val="32"/>
        </w:rPr>
        <w:t>发展。</w:t>
      </w:r>
    </w:p>
    <w:p w:rsidR="00621FC3" w:rsidRDefault="00F76B79" w:rsidP="002C3AF5">
      <w:pPr>
        <w:adjustRightInd w:val="0"/>
        <w:snapToGrid w:val="0"/>
        <w:spacing w:line="620" w:lineRule="exact"/>
        <w:ind w:firstLineChars="200" w:firstLine="643"/>
        <w:rPr>
          <w:rFonts w:eastAsia="仿宋_GB2312"/>
          <w:kern w:val="0"/>
          <w:sz w:val="32"/>
          <w:szCs w:val="32"/>
        </w:rPr>
      </w:pPr>
      <w:r>
        <w:rPr>
          <w:rFonts w:eastAsia="仿宋_GB2312" w:hint="eastAsia"/>
          <w:b/>
          <w:bCs/>
          <w:kern w:val="0"/>
          <w:sz w:val="32"/>
          <w:szCs w:val="32"/>
        </w:rPr>
        <w:t>坚持依法行政</w:t>
      </w:r>
      <w:r>
        <w:rPr>
          <w:rFonts w:eastAsia="仿宋_GB2312" w:hint="eastAsia"/>
          <w:kern w:val="0"/>
          <w:sz w:val="32"/>
          <w:szCs w:val="32"/>
        </w:rPr>
        <w:t>。贯彻落实全面依法治国基本方略，坚持科学立法、严格执法、公正司法、全民守法，深入推进依法行政，推动人力资源和社会保障工作全面纳入法治轨道。合理调节各方面利益关系，促进社会公正和谐。</w:t>
      </w:r>
    </w:p>
    <w:p w:rsidR="00621FC3" w:rsidRDefault="00F76B79">
      <w:pPr>
        <w:pStyle w:val="3"/>
        <w:spacing w:line="620" w:lineRule="exact"/>
        <w:rPr>
          <w:color w:val="auto"/>
        </w:rPr>
      </w:pPr>
      <w:bookmarkStart w:id="54" w:name="_Toc57503991"/>
      <w:bookmarkStart w:id="55" w:name="_Toc60730648"/>
      <w:r>
        <w:rPr>
          <w:rFonts w:hint="eastAsia"/>
          <w:color w:val="auto"/>
        </w:rPr>
        <w:t>（三）发展目标</w:t>
      </w:r>
      <w:bookmarkEnd w:id="54"/>
      <w:bookmarkEnd w:id="55"/>
    </w:p>
    <w:p w:rsidR="00621FC3" w:rsidRDefault="00F76B79">
      <w:pPr>
        <w:pStyle w:val="a0"/>
        <w:adjustRightInd w:val="0"/>
        <w:snapToGrid w:val="0"/>
        <w:spacing w:line="620" w:lineRule="exact"/>
        <w:ind w:firstLine="643"/>
        <w:rPr>
          <w:rFonts w:ascii="仿宋_GB2312" w:eastAsia="仿宋_GB2312"/>
          <w:sz w:val="32"/>
          <w:szCs w:val="32"/>
        </w:rPr>
      </w:pPr>
      <w:bookmarkStart w:id="56" w:name="_Toc56441839"/>
      <w:bookmarkStart w:id="57" w:name="_Toc56441307"/>
      <w:r>
        <w:rPr>
          <w:rFonts w:ascii="仿宋_GB2312" w:eastAsia="仿宋_GB2312" w:cs="仿宋_GB2312" w:hint="eastAsia"/>
          <w:b/>
          <w:bCs/>
          <w:sz w:val="32"/>
          <w:szCs w:val="32"/>
        </w:rPr>
        <w:t>优化就业服务机制，实现更高质量就业。</w:t>
      </w:r>
      <w:r>
        <w:rPr>
          <w:rFonts w:ascii="仿宋_GB2312" w:eastAsia="仿宋_GB2312" w:cs="仿宋_GB2312" w:hint="eastAsia"/>
          <w:bCs/>
          <w:sz w:val="32"/>
          <w:szCs w:val="32"/>
        </w:rPr>
        <w:t>保持就业形势总体稳定，稳步提升就业质量，有效缓解结构性就业矛盾，持续释放创业带动就业动能，不断增强风险应对能力。</w:t>
      </w:r>
      <w:r>
        <w:rPr>
          <w:rFonts w:ascii="仿宋_GB2312" w:eastAsia="仿宋_GB2312" w:cs="仿宋_GB2312" w:hint="eastAsia"/>
          <w:sz w:val="32"/>
          <w:szCs w:val="32"/>
        </w:rPr>
        <w:t>着力</w:t>
      </w:r>
      <w:r>
        <w:rPr>
          <w:rFonts w:ascii="仿宋_GB2312" w:eastAsia="仿宋_GB2312" w:cs="仿宋_GB2312" w:hint="eastAsia"/>
          <w:sz w:val="32"/>
          <w:szCs w:val="32"/>
        </w:rPr>
        <w:lastRenderedPageBreak/>
        <w:t>优化就业结构，培育接续有力的就业新动能，发挥本市就业大数据平台优势，</w:t>
      </w:r>
      <w:r>
        <w:rPr>
          <w:rFonts w:ascii="仿宋_GB2312" w:eastAsia="仿宋_GB2312" w:cs="宋体" w:hint="eastAsia"/>
          <w:kern w:val="0"/>
          <w:sz w:val="32"/>
          <w:szCs w:val="32"/>
        </w:rPr>
        <w:t>发展“互联网+</w:t>
      </w:r>
      <w:r>
        <w:rPr>
          <w:rFonts w:ascii="仿宋_GB2312" w:eastAsia="仿宋_GB2312" w:cs="宋体" w:hint="eastAsia"/>
          <w:bCs/>
          <w:kern w:val="0"/>
          <w:sz w:val="32"/>
          <w:szCs w:val="32"/>
        </w:rPr>
        <w:t>就业服务”，</w:t>
      </w:r>
      <w:r>
        <w:rPr>
          <w:rFonts w:ascii="仿宋_GB2312" w:eastAsia="仿宋_GB2312" w:cs="仿宋_GB2312" w:hint="eastAsia"/>
          <w:sz w:val="32"/>
          <w:szCs w:val="32"/>
        </w:rPr>
        <w:t>完善企业与劳动者的信息沟通机制，支持多渠道灵活就业和新就业形态发展。统筹推动各类重点群体就业，</w:t>
      </w:r>
      <w:r>
        <w:rPr>
          <w:rFonts w:ascii="仿宋_GB2312" w:eastAsia="仿宋_GB2312" w:cs="宋体" w:hint="eastAsia"/>
          <w:bCs/>
          <w:kern w:val="0"/>
          <w:sz w:val="32"/>
          <w:szCs w:val="32"/>
        </w:rPr>
        <w:t>优化就业困难群体实名制管理服务机制，</w:t>
      </w:r>
      <w:r>
        <w:rPr>
          <w:rFonts w:ascii="仿宋_GB2312" w:eastAsia="仿宋_GB2312" w:cs="仿宋_GB2312" w:hint="eastAsia"/>
          <w:sz w:val="32"/>
          <w:szCs w:val="32"/>
        </w:rPr>
        <w:t>积极开展精准就业帮扶措施，</w:t>
      </w:r>
      <w:r>
        <w:rPr>
          <w:rFonts w:ascii="仿宋_GB2312" w:eastAsia="仿宋_GB2312" w:hint="eastAsia"/>
          <w:sz w:val="32"/>
          <w:szCs w:val="32"/>
        </w:rPr>
        <w:t>大力</w:t>
      </w:r>
      <w:r>
        <w:rPr>
          <w:rFonts w:ascii="仿宋_GB2312" w:eastAsia="仿宋_GB2312" w:cs="宋体" w:hint="eastAsia"/>
          <w:bCs/>
          <w:kern w:val="0"/>
          <w:sz w:val="32"/>
          <w:szCs w:val="32"/>
        </w:rPr>
        <w:t>帮扶高校毕业生、农民工等重点群体就业。健全失业监测预警机制,</w:t>
      </w:r>
      <w:r>
        <w:rPr>
          <w:rFonts w:ascii="仿宋_GB2312" w:eastAsia="仿宋_GB2312" w:hint="eastAsia"/>
          <w:sz w:val="32"/>
          <w:szCs w:val="32"/>
        </w:rPr>
        <w:t>强化失业预防体系，</w:t>
      </w:r>
      <w:r>
        <w:rPr>
          <w:rFonts w:ascii="仿宋_GB2312" w:eastAsia="仿宋_GB2312" w:cs="宋体" w:hint="eastAsia"/>
          <w:kern w:val="0"/>
          <w:sz w:val="32"/>
          <w:szCs w:val="32"/>
        </w:rPr>
        <w:t>加大失业人员就业援助力度，</w:t>
      </w:r>
      <w:r>
        <w:rPr>
          <w:rFonts w:ascii="仿宋_GB2312" w:eastAsia="仿宋_GB2312" w:cs="仿宋_GB2312" w:hint="eastAsia"/>
          <w:sz w:val="32"/>
          <w:szCs w:val="32"/>
        </w:rPr>
        <w:t>促进实现充分就业、公平就业和稳定就业。在保障常规产业就业形势稳定的基础上，为新就业形态发展创造空间，</w:t>
      </w:r>
      <w:r>
        <w:rPr>
          <w:rFonts w:ascii="仿宋_GB2312" w:eastAsia="仿宋_GB2312" w:cs="宋体" w:hint="eastAsia"/>
          <w:kern w:val="0"/>
          <w:sz w:val="32"/>
          <w:szCs w:val="32"/>
        </w:rPr>
        <w:t>支持灵活就业，</w:t>
      </w:r>
      <w:r>
        <w:rPr>
          <w:rFonts w:ascii="仿宋_GB2312" w:eastAsia="仿宋_GB2312" w:cs="仿宋_GB2312" w:hint="eastAsia"/>
          <w:sz w:val="32"/>
          <w:szCs w:val="32"/>
        </w:rPr>
        <w:t>提升企业用工服务。进一步完善职业技能培训制度，健全面向各类劳动人群、适应市场需求、贯穿职业生涯的职业提升培训体系，</w:t>
      </w:r>
      <w:bookmarkStart w:id="58" w:name="OLE_LINK69"/>
      <w:bookmarkStart w:id="59" w:name="OLE_LINK68"/>
      <w:r>
        <w:rPr>
          <w:rFonts w:ascii="仿宋_GB2312" w:eastAsia="仿宋_GB2312" w:cs="宋体" w:hint="eastAsia"/>
          <w:bCs/>
          <w:kern w:val="0"/>
          <w:sz w:val="32"/>
          <w:szCs w:val="32"/>
        </w:rPr>
        <w:t>支持引导重点群体参加职业技能培训</w:t>
      </w:r>
      <w:bookmarkEnd w:id="58"/>
      <w:bookmarkEnd w:id="59"/>
      <w:r>
        <w:rPr>
          <w:rFonts w:ascii="仿宋_GB2312" w:eastAsia="仿宋_GB2312" w:cs="宋体" w:hint="eastAsia"/>
          <w:bCs/>
          <w:kern w:val="0"/>
          <w:sz w:val="32"/>
          <w:szCs w:val="32"/>
        </w:rPr>
        <w:t>。</w:t>
      </w:r>
    </w:p>
    <w:p w:rsidR="00621FC3" w:rsidRDefault="00F76B79">
      <w:pPr>
        <w:pStyle w:val="a0"/>
        <w:adjustRightInd w:val="0"/>
        <w:snapToGrid w:val="0"/>
        <w:spacing w:line="620" w:lineRule="exact"/>
        <w:ind w:firstLine="643"/>
        <w:rPr>
          <w:rFonts w:ascii="仿宋_GB2312" w:eastAsia="仿宋_GB2312"/>
          <w:sz w:val="32"/>
          <w:szCs w:val="32"/>
          <w:u w:val="single"/>
        </w:rPr>
      </w:pPr>
      <w:r>
        <w:rPr>
          <w:rFonts w:ascii="仿宋_GB2312" w:eastAsia="仿宋_GB2312" w:hint="eastAsia"/>
          <w:b/>
          <w:bCs/>
          <w:sz w:val="32"/>
          <w:szCs w:val="32"/>
        </w:rPr>
        <w:t>完善人才政策措施，强化人才队伍建设。</w:t>
      </w:r>
      <w:r>
        <w:rPr>
          <w:rFonts w:ascii="仿宋_GB2312" w:eastAsia="仿宋_GB2312" w:hint="eastAsia"/>
          <w:sz w:val="32"/>
          <w:szCs w:val="32"/>
        </w:rPr>
        <w:t>依托产业发展规划与人才强市战略，继续推动人才引进模式创新，支持本地企业引导飞地引才、短期引才、项目引才等柔性引才专门举措。完善人才住房、配偶就业、子女教育和社会保障等相关政策，深化人才融合度和</w:t>
      </w:r>
      <w:bookmarkStart w:id="60" w:name="OLE_LINK91"/>
      <w:bookmarkStart w:id="61" w:name="OLE_LINK90"/>
      <w:r>
        <w:rPr>
          <w:rFonts w:ascii="仿宋_GB2312" w:eastAsia="仿宋_GB2312" w:hint="eastAsia"/>
          <w:sz w:val="32"/>
          <w:szCs w:val="32"/>
        </w:rPr>
        <w:t>认同感，形成多渠道人才引进长效机制。深化厦台两地人力资源合作</w:t>
      </w:r>
      <w:bookmarkEnd w:id="60"/>
      <w:bookmarkEnd w:id="61"/>
      <w:r>
        <w:rPr>
          <w:rFonts w:ascii="仿宋_GB2312" w:eastAsia="仿宋_GB2312" w:hint="eastAsia"/>
          <w:sz w:val="32"/>
          <w:szCs w:val="32"/>
        </w:rPr>
        <w:t>，完善台湾人才引进政策，加大对台引才引智力度。推动构筑国际人才高地，加强</w:t>
      </w:r>
      <w:r>
        <w:rPr>
          <w:rFonts w:ascii="仿宋_GB2312" w:eastAsia="仿宋_GB2312" w:cs="仿宋_GB2312" w:hint="eastAsia"/>
          <w:sz w:val="32"/>
          <w:szCs w:val="32"/>
        </w:rPr>
        <w:t>区域人才协作</w:t>
      </w:r>
      <w:r>
        <w:rPr>
          <w:rFonts w:ascii="仿宋_GB2312" w:eastAsia="仿宋_GB2312" w:hint="eastAsia"/>
          <w:sz w:val="32"/>
          <w:szCs w:val="32"/>
        </w:rPr>
        <w:t>，</w:t>
      </w:r>
      <w:r>
        <w:rPr>
          <w:rFonts w:ascii="仿宋_GB2312" w:eastAsia="仿宋_GB2312" w:cs="仿宋_GB2312" w:hint="eastAsia"/>
          <w:sz w:val="32"/>
          <w:szCs w:val="32"/>
          <w:shd w:val="clear" w:color="auto" w:fill="FFFFFF"/>
        </w:rPr>
        <w:t>优化技能人才激励保障机制，</w:t>
      </w:r>
      <w:r>
        <w:rPr>
          <w:rFonts w:ascii="仿宋_GB2312" w:eastAsia="仿宋_GB2312" w:hint="eastAsia"/>
          <w:sz w:val="32"/>
          <w:szCs w:val="32"/>
        </w:rPr>
        <w:t>促进人才创新创造活力充分释放，为厦门</w:t>
      </w:r>
      <w:r>
        <w:rPr>
          <w:rFonts w:eastAsia="仿宋_GB2312" w:hint="eastAsia"/>
          <w:sz w:val="32"/>
          <w:szCs w:val="32"/>
          <w:shd w:val="clear" w:color="auto" w:fill="FFFFFF"/>
        </w:rPr>
        <w:t>高素质高颜值现代化国际化</w:t>
      </w:r>
      <w:r>
        <w:rPr>
          <w:rFonts w:ascii="仿宋_GB2312" w:eastAsia="仿宋_GB2312" w:hint="eastAsia"/>
          <w:sz w:val="32"/>
          <w:szCs w:val="32"/>
        </w:rPr>
        <w:t>中心城市建设提供高质量的人才保障。</w:t>
      </w:r>
    </w:p>
    <w:p w:rsidR="00621FC3" w:rsidRDefault="00F76B79">
      <w:pPr>
        <w:pStyle w:val="a0"/>
        <w:adjustRightInd w:val="0"/>
        <w:snapToGrid w:val="0"/>
        <w:spacing w:line="620" w:lineRule="exact"/>
        <w:ind w:firstLine="643"/>
        <w:rPr>
          <w:rFonts w:ascii="仿宋_GB2312" w:eastAsia="仿宋_GB2312"/>
          <w:sz w:val="32"/>
          <w:szCs w:val="32"/>
        </w:rPr>
      </w:pPr>
      <w:bookmarkStart w:id="62" w:name="OLE_LINK664"/>
      <w:bookmarkStart w:id="63" w:name="OLE_LINK663"/>
      <w:r>
        <w:rPr>
          <w:rFonts w:ascii="仿宋_GB2312" w:eastAsia="仿宋_GB2312" w:hint="eastAsia"/>
          <w:b/>
          <w:bCs/>
          <w:sz w:val="32"/>
          <w:szCs w:val="32"/>
        </w:rPr>
        <w:lastRenderedPageBreak/>
        <w:t>健全社会保障体系，提升社会保障水平。</w:t>
      </w:r>
      <w:bookmarkEnd w:id="62"/>
      <w:bookmarkEnd w:id="63"/>
      <w:r>
        <w:rPr>
          <w:rFonts w:ascii="仿宋_GB2312" w:eastAsia="仿宋_GB2312" w:hint="eastAsia"/>
          <w:sz w:val="32"/>
          <w:szCs w:val="32"/>
        </w:rPr>
        <w:t>以社会保障相关政策法规为依据，深入实施全民参保计划，扩大基本养老保险覆盖面，</w:t>
      </w:r>
      <w:bookmarkStart w:id="64" w:name="OLE_LINK32"/>
      <w:bookmarkStart w:id="65" w:name="OLE_LINK33"/>
      <w:r>
        <w:rPr>
          <w:rFonts w:ascii="仿宋_GB2312" w:eastAsia="仿宋_GB2312" w:hint="eastAsia"/>
          <w:bCs/>
          <w:sz w:val="32"/>
          <w:szCs w:val="32"/>
        </w:rPr>
        <w:t>加快发展多层次、多支柱养老保险体系，健全基本养老保险筹资和待遇调整机制，扩大年金覆盖范围，规范发展第三支柱养老保险，更好满足人民群众多样化需求。</w:t>
      </w:r>
      <w:r>
        <w:rPr>
          <w:rFonts w:ascii="仿宋_GB2312" w:eastAsia="仿宋_GB2312" w:cs="宋体" w:hint="eastAsia"/>
          <w:bCs/>
          <w:kern w:val="0"/>
          <w:sz w:val="32"/>
          <w:szCs w:val="32"/>
        </w:rPr>
        <w:t>做好企业职工基本养老保险省级统筹</w:t>
      </w:r>
      <w:bookmarkEnd w:id="64"/>
      <w:bookmarkEnd w:id="65"/>
      <w:r>
        <w:rPr>
          <w:rFonts w:ascii="仿宋_GB2312" w:eastAsia="仿宋_GB2312" w:cs="宋体" w:hint="eastAsia"/>
          <w:bCs/>
          <w:kern w:val="0"/>
          <w:sz w:val="32"/>
          <w:szCs w:val="32"/>
        </w:rPr>
        <w:t>、全国统筹改革衔接工作，扎实推进机关事业单位养老保险改革工作。落实工伤保险省级统筹，完善预防、补偿、康复“三位一体”制度，积极打造多层次的工伤保险保障体系</w:t>
      </w:r>
      <w:r>
        <w:rPr>
          <w:rFonts w:ascii="仿宋_GB2312" w:eastAsia="仿宋_GB2312" w:hint="eastAsia"/>
          <w:sz w:val="32"/>
          <w:szCs w:val="32"/>
        </w:rPr>
        <w:t>。配合推进失业保险省级统筹。“十四五”期末，参加失业保险人数达到271万人。健全内控监督、行政监督、专门监督和社会监督相结合的长效监督体系。</w:t>
      </w:r>
      <w:bookmarkStart w:id="66" w:name="OLE_LINK24"/>
      <w:bookmarkStart w:id="67" w:name="OLE_LINK23"/>
      <w:r>
        <w:rPr>
          <w:rFonts w:ascii="仿宋_GB2312" w:eastAsia="仿宋_GB2312" w:hint="eastAsia"/>
          <w:sz w:val="32"/>
          <w:szCs w:val="32"/>
        </w:rPr>
        <w:t>健全政策、经办、系统、监督“四位一体”的基金管理风险防控体系,强化智能监管，建立健全社保基金风险监督预警体系。加强社会保险稽核，打击社会保险领域违法违规行为，健全社会保险领域案件协同查处和移送制度。</w:t>
      </w:r>
      <w:bookmarkEnd w:id="66"/>
      <w:bookmarkEnd w:id="67"/>
    </w:p>
    <w:p w:rsidR="00621FC3" w:rsidRDefault="00F76B79">
      <w:pPr>
        <w:pStyle w:val="a1"/>
        <w:spacing w:line="620" w:lineRule="exact"/>
        <w:ind w:firstLine="643"/>
        <w:rPr>
          <w:b/>
          <w:bCs/>
          <w:color w:val="auto"/>
        </w:rPr>
      </w:pPr>
      <w:r>
        <w:rPr>
          <w:rFonts w:hint="eastAsia"/>
          <w:b/>
          <w:bCs/>
          <w:color w:val="auto"/>
        </w:rPr>
        <w:t>构建稳定增长机制，提高居民人均可支配收入。</w:t>
      </w:r>
      <w:r>
        <w:rPr>
          <w:rFonts w:hint="eastAsia"/>
          <w:color w:val="auto"/>
          <w:szCs w:val="31"/>
        </w:rPr>
        <w:t>深化收入分配制度改革，</w:t>
      </w:r>
      <w:r>
        <w:rPr>
          <w:rFonts w:hint="eastAsia"/>
          <w:color w:val="auto"/>
        </w:rPr>
        <w:t>健全向一线劳动者倾斜分配制度，</w:t>
      </w:r>
      <w:r>
        <w:rPr>
          <w:rFonts w:hint="eastAsia"/>
          <w:color w:val="auto"/>
          <w:szCs w:val="31"/>
        </w:rPr>
        <w:t>加强</w:t>
      </w:r>
      <w:r>
        <w:rPr>
          <w:color w:val="auto"/>
          <w:szCs w:val="31"/>
        </w:rPr>
        <w:t>企业工资</w:t>
      </w:r>
      <w:r>
        <w:rPr>
          <w:rFonts w:hint="eastAsia"/>
          <w:color w:val="auto"/>
          <w:szCs w:val="31"/>
        </w:rPr>
        <w:t>宏观调控</w:t>
      </w:r>
      <w:r>
        <w:rPr>
          <w:color w:val="auto"/>
          <w:szCs w:val="31"/>
        </w:rPr>
        <w:t>，</w:t>
      </w:r>
      <w:r>
        <w:rPr>
          <w:rFonts w:hint="eastAsia"/>
          <w:color w:val="auto"/>
        </w:rPr>
        <w:t>鼓励企业在工资结构中设置体现技术技能价值的工资单元</w:t>
      </w:r>
      <w:r>
        <w:rPr>
          <w:color w:val="auto"/>
          <w:szCs w:val="31"/>
        </w:rPr>
        <w:t>，</w:t>
      </w:r>
      <w:r>
        <w:rPr>
          <w:rFonts w:hint="eastAsia"/>
          <w:color w:val="auto"/>
        </w:rPr>
        <w:t>建立符合事业单位特点的工资分配制度，全面贯彻落实以增加知识价值为导向的收入分配政策，实现居民收入增长与经济增长基本同步，城乡居民收入水平得到全面提高，逐步缩小与台湾地区的差距。</w:t>
      </w:r>
    </w:p>
    <w:p w:rsidR="00621FC3" w:rsidRDefault="00F76B79">
      <w:pPr>
        <w:pStyle w:val="a1"/>
        <w:spacing w:line="620" w:lineRule="exact"/>
        <w:ind w:firstLine="643"/>
        <w:rPr>
          <w:color w:val="auto"/>
        </w:rPr>
      </w:pPr>
      <w:r>
        <w:rPr>
          <w:rFonts w:hint="eastAsia"/>
          <w:b/>
          <w:bCs/>
          <w:color w:val="auto"/>
        </w:rPr>
        <w:lastRenderedPageBreak/>
        <w:t>完善调处机制，促进劳动关系和谐。</w:t>
      </w:r>
      <w:r>
        <w:rPr>
          <w:rFonts w:hint="eastAsia"/>
          <w:color w:val="auto"/>
        </w:rPr>
        <w:t>健全劳动关系三方协商协调机制，探索</w:t>
      </w:r>
      <w:r>
        <w:rPr>
          <w:rFonts w:cs="仿宋" w:hint="eastAsia"/>
          <w:color w:val="auto"/>
        </w:rPr>
        <w:t>厦门特色和谐劳动关系创建模式</w:t>
      </w:r>
      <w:bookmarkStart w:id="68" w:name="OLE_LINK325"/>
      <w:bookmarkStart w:id="69" w:name="OLE_LINK326"/>
      <w:r>
        <w:rPr>
          <w:rFonts w:cs="仿宋" w:hint="eastAsia"/>
          <w:color w:val="auto"/>
        </w:rPr>
        <w:t>。</w:t>
      </w:r>
      <w:r>
        <w:rPr>
          <w:rFonts w:hint="eastAsia"/>
          <w:color w:val="auto"/>
        </w:rPr>
        <w:t>以维护劳动者合法权益为</w:t>
      </w:r>
      <w:bookmarkEnd w:id="68"/>
      <w:bookmarkEnd w:id="69"/>
      <w:r>
        <w:rPr>
          <w:rFonts w:hint="eastAsia"/>
          <w:color w:val="auto"/>
        </w:rPr>
        <w:t>基点，加大劳动保障监察执法力度，贯彻落实劳动合同制度，</w:t>
      </w:r>
      <w:r>
        <w:rPr>
          <w:rFonts w:cs="仿宋" w:hint="eastAsia"/>
          <w:color w:val="auto"/>
        </w:rPr>
        <w:t>优化新就业形态用工服务监管和劳动者权益保障机制</w:t>
      </w:r>
      <w:r>
        <w:rPr>
          <w:rFonts w:hint="eastAsia"/>
          <w:color w:val="auto"/>
        </w:rPr>
        <w:t>。坚持“事前预警”主动监察、“事后处理”快速化解机制，强化劳动保障监察执法效能。建立健全多层次劳动人事争议调解组织，完善劳动争议派出庭和调解点建设，加强仲裁制度建设，健全完善劳动人事争议多元处理格局。健全劳动关系形势分析研判制度，完善劳资纠纷主动创稳工作机制，探索适应新就业形态劳动关系调处机制，</w:t>
      </w:r>
      <w:r>
        <w:rPr>
          <w:color w:val="auto"/>
        </w:rPr>
        <w:t>构建和谐劳</w:t>
      </w:r>
      <w:bookmarkStart w:id="70" w:name="OLE_LINK89"/>
      <w:bookmarkStart w:id="71" w:name="OLE_LINK88"/>
      <w:r>
        <w:rPr>
          <w:color w:val="auto"/>
        </w:rPr>
        <w:t>动关系典范城市</w:t>
      </w:r>
      <w:r>
        <w:rPr>
          <w:rFonts w:hint="eastAsia"/>
          <w:color w:val="auto"/>
        </w:rPr>
        <w:t>。</w:t>
      </w:r>
    </w:p>
    <w:bookmarkEnd w:id="70"/>
    <w:bookmarkEnd w:id="71"/>
    <w:p w:rsidR="00621FC3" w:rsidRDefault="00F76B79">
      <w:pPr>
        <w:pStyle w:val="a0"/>
        <w:adjustRightInd w:val="0"/>
        <w:snapToGrid w:val="0"/>
        <w:spacing w:line="620" w:lineRule="exact"/>
        <w:ind w:firstLine="643"/>
      </w:pPr>
      <w:r>
        <w:rPr>
          <w:rFonts w:ascii="仿宋_GB2312" w:eastAsia="仿宋_GB2312" w:cs="仿宋_GB2312" w:hint="eastAsia"/>
          <w:b/>
          <w:bCs/>
          <w:sz w:val="32"/>
          <w:szCs w:val="32"/>
        </w:rPr>
        <w:t>建立优质服务体系，增强公共服务能力。</w:t>
      </w:r>
      <w:r>
        <w:rPr>
          <w:rFonts w:ascii="仿宋_GB2312" w:eastAsia="仿宋_GB2312" w:cs="仿宋_GB2312" w:hint="eastAsia"/>
          <w:sz w:val="32"/>
          <w:szCs w:val="32"/>
        </w:rPr>
        <w:t>健全公共服务体系，优化公共服务内容，推进公共服务均等化。加强人社工作人员的针对性培训，提升服务意识、服务能力及业务操作水平，提升人社业务经办效率。健全绩效考评和激励机制，加强人社工作人员服务的规范化建设，提升服务积极性、主动性，激发创新性。深入推进数字化建设，</w:t>
      </w:r>
      <w:r>
        <w:rPr>
          <w:rFonts w:ascii="仿宋_GB2312" w:eastAsia="仿宋_GB2312" w:hint="eastAsia"/>
          <w:sz w:val="32"/>
          <w:szCs w:val="32"/>
        </w:rPr>
        <w:t>进一步提升人社公共服务信息化水平，</w:t>
      </w:r>
      <w:r>
        <w:rPr>
          <w:rFonts w:ascii="仿宋_GB2312" w:eastAsia="仿宋_GB2312" w:cs="仿宋_GB2312" w:hint="eastAsia"/>
          <w:sz w:val="32"/>
          <w:szCs w:val="32"/>
        </w:rPr>
        <w:t>完善“智慧人社”，提升公共服务效能，提供便捷、高效的公共服务，支撑公共服务能力的全面提升</w:t>
      </w:r>
      <w:r>
        <w:rPr>
          <w:rFonts w:eastAsia="仿宋_GB2312"/>
          <w:sz w:val="32"/>
          <w:szCs w:val="32"/>
        </w:rPr>
        <w:t>，加快健全覆盖城乡、普惠共享</w:t>
      </w:r>
      <w:r>
        <w:rPr>
          <w:rFonts w:eastAsia="仿宋_GB2312" w:hint="eastAsia"/>
          <w:sz w:val="32"/>
          <w:szCs w:val="32"/>
        </w:rPr>
        <w:t>的</w:t>
      </w:r>
      <w:r>
        <w:rPr>
          <w:rFonts w:eastAsia="仿宋_GB2312"/>
          <w:sz w:val="32"/>
          <w:szCs w:val="32"/>
        </w:rPr>
        <w:t>人力资源和社会保障基本公共服务体系。</w:t>
      </w:r>
      <w:r>
        <w:rPr>
          <w:rFonts w:eastAsia="仿宋_GB2312" w:hint="eastAsia"/>
          <w:sz w:val="32"/>
          <w:szCs w:val="32"/>
        </w:rPr>
        <w:t>紧紧围绕增进两岸同胞福祉，探新路促融合，</w:t>
      </w:r>
      <w:r>
        <w:rPr>
          <w:rFonts w:ascii="仿宋_GB2312" w:eastAsia="仿宋_GB2312" w:cs="仿宋_GB2312" w:hint="eastAsia"/>
          <w:bCs/>
          <w:sz w:val="32"/>
          <w:szCs w:val="32"/>
        </w:rPr>
        <w:t>推动在厦的台湾同胞纳入厦门市基本公共服务保障范</w:t>
      </w:r>
      <w:r>
        <w:rPr>
          <w:rFonts w:ascii="仿宋_GB2312" w:eastAsia="仿宋_GB2312" w:cs="仿宋_GB2312" w:hint="eastAsia"/>
          <w:bCs/>
          <w:sz w:val="32"/>
          <w:szCs w:val="32"/>
        </w:rPr>
        <w:lastRenderedPageBreak/>
        <w:t>围，在就业创业、社会保障等领域享受与本市居民同等待遇。</w:t>
      </w:r>
    </w:p>
    <w:p w:rsidR="00621FC3" w:rsidRDefault="00621FC3">
      <w:pPr>
        <w:adjustRightInd w:val="0"/>
        <w:snapToGrid w:val="0"/>
        <w:spacing w:line="360" w:lineRule="auto"/>
        <w:jc w:val="center"/>
        <w:rPr>
          <w:rFonts w:ascii="仿宋" w:eastAsia="仿宋"/>
          <w:b/>
          <w:bCs/>
          <w:kern w:val="0"/>
          <w:sz w:val="24"/>
        </w:rPr>
      </w:pPr>
      <w:bookmarkStart w:id="72" w:name="_Toc60730649"/>
      <w:bookmarkStart w:id="73" w:name="_Toc57503992"/>
      <w:bookmarkEnd w:id="56"/>
      <w:bookmarkEnd w:id="57"/>
    </w:p>
    <w:p w:rsidR="00621FC3" w:rsidRDefault="00F76B79">
      <w:pPr>
        <w:adjustRightInd w:val="0"/>
        <w:snapToGrid w:val="0"/>
        <w:spacing w:line="360" w:lineRule="auto"/>
        <w:jc w:val="center"/>
        <w:rPr>
          <w:rFonts w:ascii="仿宋" w:eastAsia="仿宋"/>
          <w:b/>
          <w:sz w:val="24"/>
        </w:rPr>
      </w:pPr>
      <w:r>
        <w:rPr>
          <w:rFonts w:ascii="仿宋" w:eastAsia="仿宋" w:hint="eastAsia"/>
          <w:b/>
          <w:bCs/>
          <w:kern w:val="0"/>
          <w:sz w:val="24"/>
        </w:rPr>
        <w:t>表2 厦门市</w:t>
      </w:r>
      <w:r>
        <w:rPr>
          <w:rFonts w:ascii="仿宋" w:eastAsia="仿宋" w:hint="eastAsia"/>
          <w:b/>
          <w:bCs/>
          <w:sz w:val="24"/>
        </w:rPr>
        <w:t>人力</w:t>
      </w:r>
      <w:r>
        <w:rPr>
          <w:rFonts w:ascii="仿宋" w:eastAsia="仿宋" w:hint="eastAsia"/>
          <w:b/>
          <w:sz w:val="24"/>
        </w:rPr>
        <w:t>资源和社会保障事业发展“十四五”时期主要指标目标</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
        <w:gridCol w:w="4190"/>
        <w:gridCol w:w="894"/>
        <w:gridCol w:w="1500"/>
        <w:gridCol w:w="1485"/>
        <w:gridCol w:w="1155"/>
      </w:tblGrid>
      <w:tr w:rsidR="00621FC3">
        <w:trPr>
          <w:trHeight w:val="567"/>
          <w:jc w:val="center"/>
        </w:trPr>
        <w:tc>
          <w:tcPr>
            <w:tcW w:w="835" w:type="dxa"/>
            <w:vMerge w:val="restart"/>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序号</w:t>
            </w:r>
          </w:p>
        </w:tc>
        <w:tc>
          <w:tcPr>
            <w:tcW w:w="4190" w:type="dxa"/>
            <w:vMerge w:val="restart"/>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指标</w:t>
            </w:r>
          </w:p>
        </w:tc>
        <w:tc>
          <w:tcPr>
            <w:tcW w:w="894" w:type="dxa"/>
            <w:vMerge w:val="restart"/>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单位</w:t>
            </w:r>
          </w:p>
        </w:tc>
        <w:tc>
          <w:tcPr>
            <w:tcW w:w="1500" w:type="dxa"/>
            <w:vAlign w:val="center"/>
          </w:tcPr>
          <w:p w:rsidR="00621FC3" w:rsidRDefault="00F76B79">
            <w:pPr>
              <w:widowControl/>
              <w:jc w:val="center"/>
              <w:rPr>
                <w:rFonts w:ascii="仿宋" w:eastAsia="仿宋" w:cs="宋体"/>
                <w:kern w:val="0"/>
                <w:sz w:val="22"/>
              </w:rPr>
            </w:pPr>
            <w:r>
              <w:rPr>
                <w:rFonts w:ascii="仿宋" w:eastAsia="仿宋" w:cs="宋体" w:hint="eastAsia"/>
                <w:kern w:val="0"/>
                <w:sz w:val="22"/>
              </w:rPr>
              <w:t>2020年末</w:t>
            </w:r>
          </w:p>
        </w:tc>
        <w:tc>
          <w:tcPr>
            <w:tcW w:w="1485" w:type="dxa"/>
            <w:vAlign w:val="center"/>
          </w:tcPr>
          <w:p w:rsidR="00621FC3" w:rsidRDefault="00F76B79">
            <w:pPr>
              <w:widowControl/>
              <w:jc w:val="center"/>
              <w:rPr>
                <w:rFonts w:ascii="仿宋" w:eastAsia="仿宋" w:cs="宋体"/>
                <w:kern w:val="0"/>
                <w:sz w:val="22"/>
              </w:rPr>
            </w:pPr>
            <w:r>
              <w:rPr>
                <w:rFonts w:ascii="仿宋" w:eastAsia="仿宋" w:cs="宋体" w:hint="eastAsia"/>
                <w:kern w:val="0"/>
                <w:sz w:val="22"/>
              </w:rPr>
              <w:t>2025年末</w:t>
            </w:r>
          </w:p>
        </w:tc>
        <w:tc>
          <w:tcPr>
            <w:tcW w:w="1155" w:type="dxa"/>
            <w:vMerge w:val="restart"/>
            <w:vAlign w:val="center"/>
          </w:tcPr>
          <w:p w:rsidR="00621FC3" w:rsidRDefault="00F76B79">
            <w:pPr>
              <w:widowControl/>
              <w:jc w:val="center"/>
              <w:rPr>
                <w:rFonts w:ascii="仿宋" w:eastAsia="仿宋" w:cs="宋体"/>
                <w:kern w:val="0"/>
                <w:sz w:val="22"/>
              </w:rPr>
            </w:pPr>
            <w:r>
              <w:rPr>
                <w:rFonts w:ascii="仿宋" w:eastAsia="仿宋" w:cs="宋体" w:hint="eastAsia"/>
                <w:kern w:val="0"/>
                <w:sz w:val="22"/>
              </w:rPr>
              <w:t>属性</w:t>
            </w:r>
          </w:p>
        </w:tc>
      </w:tr>
      <w:tr w:rsidR="00621FC3">
        <w:trPr>
          <w:trHeight w:val="587"/>
          <w:jc w:val="center"/>
        </w:trPr>
        <w:tc>
          <w:tcPr>
            <w:tcW w:w="835" w:type="dxa"/>
            <w:vMerge/>
            <w:vAlign w:val="center"/>
          </w:tcPr>
          <w:p w:rsidR="00621FC3" w:rsidRDefault="00621FC3"/>
        </w:tc>
        <w:tc>
          <w:tcPr>
            <w:tcW w:w="4190" w:type="dxa"/>
            <w:vMerge/>
            <w:vAlign w:val="center"/>
          </w:tcPr>
          <w:p w:rsidR="00621FC3" w:rsidRDefault="00621FC3"/>
        </w:tc>
        <w:tc>
          <w:tcPr>
            <w:tcW w:w="894" w:type="dxa"/>
            <w:vMerge/>
            <w:vAlign w:val="center"/>
          </w:tcPr>
          <w:p w:rsidR="00621FC3" w:rsidRDefault="00621FC3"/>
        </w:tc>
        <w:tc>
          <w:tcPr>
            <w:tcW w:w="1500" w:type="dxa"/>
            <w:vAlign w:val="center"/>
          </w:tcPr>
          <w:p w:rsidR="00621FC3" w:rsidRDefault="00F76B79">
            <w:pPr>
              <w:widowControl/>
              <w:jc w:val="center"/>
              <w:rPr>
                <w:rFonts w:ascii="仿宋" w:eastAsia="仿宋" w:cs="宋体"/>
                <w:kern w:val="0"/>
                <w:sz w:val="22"/>
              </w:rPr>
            </w:pPr>
            <w:r>
              <w:rPr>
                <w:rFonts w:ascii="仿宋" w:eastAsia="仿宋" w:cs="宋体" w:hint="eastAsia"/>
                <w:kern w:val="0"/>
                <w:sz w:val="22"/>
              </w:rPr>
              <w:t>基数</w:t>
            </w:r>
          </w:p>
        </w:tc>
        <w:tc>
          <w:tcPr>
            <w:tcW w:w="1485" w:type="dxa"/>
            <w:vAlign w:val="center"/>
          </w:tcPr>
          <w:p w:rsidR="00621FC3" w:rsidRDefault="00F76B79">
            <w:pPr>
              <w:widowControl/>
              <w:jc w:val="center"/>
              <w:rPr>
                <w:rFonts w:ascii="仿宋" w:eastAsia="仿宋" w:cs="宋体"/>
                <w:kern w:val="0"/>
                <w:sz w:val="22"/>
              </w:rPr>
            </w:pPr>
            <w:r>
              <w:rPr>
                <w:rFonts w:ascii="仿宋" w:eastAsia="仿宋" w:cs="宋体" w:hint="eastAsia"/>
                <w:kern w:val="0"/>
                <w:sz w:val="22"/>
              </w:rPr>
              <w:t>目标</w:t>
            </w:r>
          </w:p>
        </w:tc>
        <w:tc>
          <w:tcPr>
            <w:tcW w:w="1155" w:type="dxa"/>
            <w:vMerge/>
            <w:vAlign w:val="center"/>
          </w:tcPr>
          <w:p w:rsidR="00621FC3" w:rsidRDefault="00621FC3">
            <w:pPr>
              <w:widowControl/>
              <w:jc w:val="center"/>
              <w:rPr>
                <w:rFonts w:ascii="仿宋" w:eastAsia="仿宋" w:cs="宋体"/>
                <w:kern w:val="0"/>
                <w:sz w:val="22"/>
              </w:rPr>
            </w:pP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一</w:t>
            </w:r>
          </w:p>
        </w:tc>
        <w:tc>
          <w:tcPr>
            <w:tcW w:w="8069" w:type="dxa"/>
            <w:gridSpan w:val="4"/>
            <w:vAlign w:val="center"/>
          </w:tcPr>
          <w:p w:rsidR="00621FC3" w:rsidRDefault="00F76B79">
            <w:pPr>
              <w:widowControl/>
              <w:adjustRightInd w:val="0"/>
              <w:snapToGrid w:val="0"/>
              <w:jc w:val="left"/>
              <w:rPr>
                <w:rFonts w:ascii="仿宋" w:eastAsia="仿宋" w:cs="宋体"/>
                <w:kern w:val="0"/>
                <w:sz w:val="24"/>
              </w:rPr>
            </w:pPr>
            <w:r>
              <w:rPr>
                <w:rFonts w:ascii="仿宋" w:eastAsia="仿宋" w:cs="宋体" w:hint="eastAsia"/>
                <w:b/>
                <w:bCs/>
                <w:kern w:val="0"/>
                <w:sz w:val="24"/>
              </w:rPr>
              <w:t>就业促进</w:t>
            </w:r>
          </w:p>
        </w:tc>
        <w:tc>
          <w:tcPr>
            <w:tcW w:w="1155" w:type="dxa"/>
            <w:vAlign w:val="center"/>
          </w:tcPr>
          <w:p w:rsidR="00621FC3" w:rsidRDefault="00621FC3">
            <w:pPr>
              <w:widowControl/>
              <w:adjustRightInd w:val="0"/>
              <w:snapToGrid w:val="0"/>
              <w:jc w:val="left"/>
              <w:rPr>
                <w:rFonts w:ascii="仿宋" w:eastAsia="仿宋" w:cs="宋体"/>
                <w:b/>
                <w:bCs/>
                <w:kern w:val="0"/>
                <w:sz w:val="24"/>
              </w:rPr>
            </w:pP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城镇新增就业人数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ind w:firstLineChars="50" w:firstLine="110"/>
              <w:jc w:val="center"/>
              <w:rPr>
                <w:rFonts w:ascii="仿宋" w:eastAsia="仿宋" w:cs="宋体"/>
                <w:kern w:val="0"/>
                <w:sz w:val="22"/>
              </w:rPr>
            </w:pPr>
            <w:r>
              <w:rPr>
                <w:rFonts w:ascii="仿宋" w:eastAsia="仿宋" w:cs="宋体" w:hint="eastAsia"/>
                <w:kern w:val="0"/>
                <w:sz w:val="22"/>
              </w:rPr>
              <w:t>117.17/五年</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65/五年</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 xml:space="preserve">城镇失业人员再就业人数 </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50.57/五年</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20/五年</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其中：城镇就业困难人员就业人数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jc w:val="center"/>
            </w:pPr>
            <w:r>
              <w:rPr>
                <w:rFonts w:ascii="仿宋" w:eastAsia="仿宋" w:cs="宋体" w:hint="eastAsia"/>
                <w:kern w:val="0"/>
                <w:sz w:val="22"/>
              </w:rPr>
              <w:t>7.79/五年</w:t>
            </w:r>
          </w:p>
        </w:tc>
        <w:tc>
          <w:tcPr>
            <w:tcW w:w="1485" w:type="dxa"/>
            <w:vAlign w:val="center"/>
          </w:tcPr>
          <w:p w:rsidR="00621FC3" w:rsidRDefault="00F76B79">
            <w:pPr>
              <w:jc w:val="center"/>
            </w:pPr>
            <w:r>
              <w:rPr>
                <w:rFonts w:ascii="仿宋" w:eastAsia="仿宋" w:cs="宋体" w:hint="eastAsia"/>
                <w:kern w:val="0"/>
                <w:sz w:val="22"/>
              </w:rPr>
              <w:t>4.5/五年</w:t>
            </w:r>
          </w:p>
        </w:tc>
        <w:tc>
          <w:tcPr>
            <w:tcW w:w="1155" w:type="dxa"/>
            <w:vAlign w:val="center"/>
          </w:tcPr>
          <w:p w:rsidR="00621FC3" w:rsidRDefault="00F76B79">
            <w:pPr>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4</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城镇登记失业率</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3.84</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&lt;5</w:t>
            </w:r>
          </w:p>
        </w:tc>
        <w:tc>
          <w:tcPr>
            <w:tcW w:w="1155" w:type="dxa"/>
            <w:vAlign w:val="center"/>
          </w:tcPr>
          <w:p w:rsidR="00621FC3" w:rsidRDefault="00F76B79">
            <w:pPr>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5</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职业技能培训人数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23.7/五年</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25/五年</w:t>
            </w:r>
          </w:p>
        </w:tc>
        <w:tc>
          <w:tcPr>
            <w:tcW w:w="1155" w:type="dxa"/>
            <w:vAlign w:val="center"/>
          </w:tcPr>
          <w:p w:rsidR="00621FC3" w:rsidRDefault="00F76B79">
            <w:pPr>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其中：农民工参加职业培训人次</w:t>
            </w:r>
          </w:p>
        </w:tc>
        <w:tc>
          <w:tcPr>
            <w:tcW w:w="894" w:type="dxa"/>
            <w:vAlign w:val="center"/>
          </w:tcPr>
          <w:p w:rsidR="00621FC3" w:rsidRDefault="00F76B79">
            <w:pPr>
              <w:widowControl/>
              <w:tabs>
                <w:tab w:val="left" w:pos="291"/>
              </w:tabs>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9.86</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10</w:t>
            </w:r>
          </w:p>
        </w:tc>
        <w:tc>
          <w:tcPr>
            <w:tcW w:w="1155" w:type="dxa"/>
            <w:vAlign w:val="center"/>
          </w:tcPr>
          <w:p w:rsidR="00621FC3" w:rsidRDefault="00F76B79">
            <w:pPr>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二</w:t>
            </w:r>
          </w:p>
        </w:tc>
        <w:tc>
          <w:tcPr>
            <w:tcW w:w="8069" w:type="dxa"/>
            <w:gridSpan w:val="4"/>
            <w:vAlign w:val="center"/>
          </w:tcPr>
          <w:p w:rsidR="00621FC3" w:rsidRDefault="00F76B79">
            <w:pPr>
              <w:widowControl/>
              <w:adjustRightInd w:val="0"/>
              <w:snapToGrid w:val="0"/>
              <w:rPr>
                <w:rFonts w:ascii="仿宋" w:eastAsia="仿宋" w:cs="宋体"/>
                <w:kern w:val="0"/>
                <w:sz w:val="22"/>
              </w:rPr>
            </w:pPr>
            <w:r>
              <w:rPr>
                <w:rFonts w:ascii="仿宋" w:eastAsia="仿宋" w:cs="宋体" w:hint="eastAsia"/>
                <w:b/>
                <w:bCs/>
                <w:kern w:val="0"/>
                <w:sz w:val="22"/>
              </w:rPr>
              <w:t>人才建设</w:t>
            </w:r>
          </w:p>
        </w:tc>
        <w:tc>
          <w:tcPr>
            <w:tcW w:w="1155" w:type="dxa"/>
            <w:vAlign w:val="center"/>
          </w:tcPr>
          <w:p w:rsidR="00621FC3" w:rsidRDefault="00621FC3">
            <w:pPr>
              <w:widowControl/>
              <w:adjustRightInd w:val="0"/>
              <w:snapToGrid w:val="0"/>
              <w:rPr>
                <w:rFonts w:ascii="仿宋" w:eastAsia="仿宋" w:cs="宋体"/>
                <w:b/>
                <w:bCs/>
                <w:kern w:val="0"/>
                <w:sz w:val="22"/>
              </w:rPr>
            </w:pP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7</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专业技术人才总量</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71</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76</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8</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其中：高级职称人才数量</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9.8</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10.8</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新增取得专业技术人员职业资格证书人数（万人）</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1.2</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1.3</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10</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新增取得职业资格证书或职业技能等级证书人数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7.78/五年</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8/五年</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11</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新增取得高级工以上职业资格证书或职业技能等级证书人数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tabs>
                <w:tab w:val="left" w:pos="222"/>
              </w:tabs>
              <w:adjustRightInd w:val="0"/>
              <w:snapToGrid w:val="0"/>
              <w:jc w:val="center"/>
              <w:rPr>
                <w:rFonts w:ascii="仿宋" w:eastAsia="仿宋" w:cs="宋体"/>
                <w:kern w:val="0"/>
                <w:sz w:val="22"/>
              </w:rPr>
            </w:pPr>
            <w:r>
              <w:rPr>
                <w:rFonts w:ascii="仿宋" w:eastAsia="仿宋" w:cs="宋体" w:hint="eastAsia"/>
                <w:kern w:val="0"/>
                <w:sz w:val="22"/>
              </w:rPr>
              <w:t>1.5/五年</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2/五年</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12</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博士后研究人员年招收数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31</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33</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三</w:t>
            </w:r>
          </w:p>
        </w:tc>
        <w:tc>
          <w:tcPr>
            <w:tcW w:w="8069" w:type="dxa"/>
            <w:gridSpan w:val="4"/>
            <w:vAlign w:val="center"/>
          </w:tcPr>
          <w:p w:rsidR="00621FC3" w:rsidRDefault="00F76B79">
            <w:pPr>
              <w:widowControl/>
              <w:adjustRightInd w:val="0"/>
              <w:snapToGrid w:val="0"/>
              <w:rPr>
                <w:rFonts w:ascii="仿宋" w:eastAsia="仿宋" w:cs="宋体"/>
                <w:kern w:val="0"/>
                <w:sz w:val="22"/>
              </w:rPr>
            </w:pPr>
            <w:r>
              <w:rPr>
                <w:rFonts w:ascii="仿宋" w:eastAsia="仿宋" w:cs="宋体" w:hint="eastAsia"/>
                <w:b/>
                <w:bCs/>
                <w:kern w:val="0"/>
                <w:sz w:val="22"/>
              </w:rPr>
              <w:t>社会保障</w:t>
            </w:r>
          </w:p>
        </w:tc>
        <w:tc>
          <w:tcPr>
            <w:tcW w:w="1155" w:type="dxa"/>
            <w:vAlign w:val="center"/>
          </w:tcPr>
          <w:p w:rsidR="00621FC3" w:rsidRDefault="00621FC3">
            <w:pPr>
              <w:widowControl/>
              <w:adjustRightInd w:val="0"/>
              <w:snapToGrid w:val="0"/>
              <w:rPr>
                <w:rFonts w:ascii="仿宋" w:eastAsia="仿宋" w:cs="宋体"/>
                <w:b/>
                <w:bCs/>
                <w:kern w:val="0"/>
                <w:sz w:val="22"/>
              </w:rPr>
            </w:pP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13</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基本养老保险参保率</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85</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95.5</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14</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失业保险参保人数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258.37</w:t>
            </w:r>
          </w:p>
        </w:tc>
        <w:tc>
          <w:tcPr>
            <w:tcW w:w="1485" w:type="dxa"/>
            <w:vAlign w:val="center"/>
          </w:tcPr>
          <w:p w:rsidR="00621FC3" w:rsidRDefault="00F76B79">
            <w:pPr>
              <w:widowControl/>
              <w:tabs>
                <w:tab w:val="left" w:pos="260"/>
              </w:tabs>
              <w:adjustRightInd w:val="0"/>
              <w:snapToGrid w:val="0"/>
              <w:jc w:val="center"/>
              <w:rPr>
                <w:rFonts w:ascii="仿宋" w:eastAsia="仿宋" w:cs="宋体"/>
                <w:kern w:val="0"/>
                <w:sz w:val="22"/>
              </w:rPr>
            </w:pPr>
            <w:r>
              <w:rPr>
                <w:rFonts w:ascii="仿宋" w:eastAsia="仿宋" w:cs="宋体" w:hint="eastAsia"/>
                <w:kern w:val="0"/>
                <w:sz w:val="22"/>
              </w:rPr>
              <w:t>271</w:t>
            </w:r>
          </w:p>
        </w:tc>
        <w:tc>
          <w:tcPr>
            <w:tcW w:w="1155" w:type="dxa"/>
            <w:vAlign w:val="center"/>
          </w:tcPr>
          <w:p w:rsidR="00621FC3" w:rsidRDefault="00F76B79">
            <w:pPr>
              <w:widowControl/>
              <w:tabs>
                <w:tab w:val="left" w:pos="260"/>
              </w:tabs>
              <w:adjustRightInd w:val="0"/>
              <w:snapToGrid w:val="0"/>
              <w:jc w:val="center"/>
              <w:rPr>
                <w:rFonts w:ascii="仿宋" w:eastAsia="仿宋" w:cs="宋体"/>
                <w:kern w:val="0"/>
                <w:sz w:val="22"/>
              </w:rPr>
            </w:pPr>
            <w:r>
              <w:rPr>
                <w:rFonts w:ascii="仿宋" w:eastAsia="仿宋" w:cs="宋体" w:hint="eastAsia"/>
                <w:kern w:val="0"/>
                <w:sz w:val="22"/>
              </w:rPr>
              <w:t>约束性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15</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工伤保险参保人数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259.33</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285</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约束性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四</w:t>
            </w:r>
          </w:p>
        </w:tc>
        <w:tc>
          <w:tcPr>
            <w:tcW w:w="8069" w:type="dxa"/>
            <w:gridSpan w:val="4"/>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b/>
                <w:bCs/>
                <w:kern w:val="0"/>
                <w:sz w:val="22"/>
              </w:rPr>
              <w:t>劳动关系</w:t>
            </w:r>
          </w:p>
        </w:tc>
        <w:tc>
          <w:tcPr>
            <w:tcW w:w="1155" w:type="dxa"/>
            <w:vAlign w:val="center"/>
          </w:tcPr>
          <w:p w:rsidR="00621FC3" w:rsidRDefault="00621FC3">
            <w:pPr>
              <w:widowControl/>
              <w:adjustRightInd w:val="0"/>
              <w:snapToGrid w:val="0"/>
              <w:jc w:val="left"/>
              <w:rPr>
                <w:rFonts w:ascii="仿宋" w:eastAsia="仿宋" w:cs="宋体"/>
                <w:b/>
                <w:bCs/>
                <w:kern w:val="0"/>
                <w:sz w:val="22"/>
              </w:rPr>
            </w:pP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lastRenderedPageBreak/>
              <w:t>16</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劳动保障监察举报投诉案件结案率</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100</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100</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17</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劳动人事争议调解成功率</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60</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60以上</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18</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劳动人事争议仲裁结案率</w:t>
            </w:r>
          </w:p>
        </w:tc>
        <w:tc>
          <w:tcPr>
            <w:tcW w:w="894" w:type="dxa"/>
            <w:vAlign w:val="center"/>
          </w:tcPr>
          <w:p w:rsidR="00621FC3" w:rsidRDefault="00F76B79">
            <w:pPr>
              <w:jc w:val="center"/>
              <w:rPr>
                <w:rFonts w:ascii="仿宋" w:eastAsia="仿宋" w:cs="宋体"/>
                <w:kern w:val="0"/>
                <w:sz w:val="22"/>
              </w:rPr>
            </w:pPr>
            <w:r>
              <w:rPr>
                <w:rFonts w:ascii="仿宋" w:eastAsia="仿宋" w:cs="宋体" w:hint="eastAsia"/>
                <w:kern w:val="0"/>
                <w:sz w:val="22"/>
              </w:rPr>
              <w:t>%</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90</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90以上</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b/>
                <w:bCs/>
                <w:kern w:val="0"/>
                <w:sz w:val="22"/>
              </w:rPr>
            </w:pPr>
            <w:r>
              <w:rPr>
                <w:rFonts w:ascii="仿宋" w:eastAsia="仿宋" w:cs="宋体" w:hint="eastAsia"/>
                <w:b/>
                <w:bCs/>
                <w:kern w:val="0"/>
                <w:sz w:val="22"/>
              </w:rPr>
              <w:t>五</w:t>
            </w:r>
          </w:p>
        </w:tc>
        <w:tc>
          <w:tcPr>
            <w:tcW w:w="8069" w:type="dxa"/>
            <w:gridSpan w:val="4"/>
            <w:vAlign w:val="center"/>
          </w:tcPr>
          <w:p w:rsidR="00621FC3" w:rsidRDefault="00F76B79">
            <w:pPr>
              <w:widowControl/>
              <w:adjustRightInd w:val="0"/>
              <w:snapToGrid w:val="0"/>
              <w:jc w:val="left"/>
              <w:rPr>
                <w:rFonts w:ascii="仿宋" w:eastAsia="仿宋" w:cs="宋体"/>
                <w:b/>
                <w:bCs/>
                <w:kern w:val="0"/>
                <w:sz w:val="22"/>
              </w:rPr>
            </w:pPr>
            <w:r>
              <w:rPr>
                <w:rFonts w:ascii="仿宋" w:eastAsia="仿宋" w:cs="宋体" w:hint="eastAsia"/>
                <w:b/>
                <w:bCs/>
                <w:kern w:val="0"/>
                <w:sz w:val="22"/>
              </w:rPr>
              <w:t>能力建设</w:t>
            </w:r>
          </w:p>
        </w:tc>
        <w:tc>
          <w:tcPr>
            <w:tcW w:w="1155" w:type="dxa"/>
            <w:vAlign w:val="center"/>
          </w:tcPr>
          <w:p w:rsidR="00621FC3" w:rsidRDefault="00621FC3">
            <w:pPr>
              <w:widowControl/>
              <w:adjustRightInd w:val="0"/>
              <w:snapToGrid w:val="0"/>
              <w:jc w:val="left"/>
              <w:rPr>
                <w:rFonts w:ascii="仿宋" w:eastAsia="仿宋" w:cs="宋体"/>
                <w:b/>
                <w:bCs/>
                <w:kern w:val="0"/>
                <w:sz w:val="22"/>
              </w:rPr>
            </w:pP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19</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社会保障卡持卡人数</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万人</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453</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485</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20</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其中：申领电子社保卡人口覆盖率</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39</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70</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r w:rsidR="00621FC3">
        <w:trPr>
          <w:trHeight w:val="567"/>
          <w:jc w:val="center"/>
        </w:trPr>
        <w:tc>
          <w:tcPr>
            <w:tcW w:w="83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21</w:t>
            </w:r>
          </w:p>
        </w:tc>
        <w:tc>
          <w:tcPr>
            <w:tcW w:w="4190" w:type="dxa"/>
            <w:vAlign w:val="center"/>
          </w:tcPr>
          <w:p w:rsidR="00621FC3" w:rsidRDefault="00F76B79">
            <w:pPr>
              <w:widowControl/>
              <w:adjustRightInd w:val="0"/>
              <w:snapToGrid w:val="0"/>
              <w:jc w:val="left"/>
              <w:rPr>
                <w:rFonts w:ascii="仿宋" w:eastAsia="仿宋" w:cs="宋体"/>
                <w:kern w:val="0"/>
                <w:sz w:val="22"/>
              </w:rPr>
            </w:pPr>
            <w:r>
              <w:rPr>
                <w:rFonts w:ascii="仿宋" w:eastAsia="仿宋" w:cs="宋体" w:hint="eastAsia"/>
                <w:kern w:val="0"/>
                <w:sz w:val="22"/>
              </w:rPr>
              <w:t>退休人员社会化管理服务率</w:t>
            </w:r>
          </w:p>
        </w:tc>
        <w:tc>
          <w:tcPr>
            <w:tcW w:w="894"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w:t>
            </w:r>
          </w:p>
        </w:tc>
        <w:tc>
          <w:tcPr>
            <w:tcW w:w="1500"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99.99</w:t>
            </w:r>
          </w:p>
        </w:tc>
        <w:tc>
          <w:tcPr>
            <w:tcW w:w="148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99.99</w:t>
            </w:r>
          </w:p>
        </w:tc>
        <w:tc>
          <w:tcPr>
            <w:tcW w:w="1155" w:type="dxa"/>
            <w:vAlign w:val="center"/>
          </w:tcPr>
          <w:p w:rsidR="00621FC3" w:rsidRDefault="00F76B79">
            <w:pPr>
              <w:widowControl/>
              <w:adjustRightInd w:val="0"/>
              <w:snapToGrid w:val="0"/>
              <w:jc w:val="center"/>
              <w:rPr>
                <w:rFonts w:ascii="仿宋" w:eastAsia="仿宋" w:cs="宋体"/>
                <w:kern w:val="0"/>
                <w:sz w:val="22"/>
              </w:rPr>
            </w:pPr>
            <w:r>
              <w:rPr>
                <w:rFonts w:ascii="仿宋" w:eastAsia="仿宋" w:cs="宋体" w:hint="eastAsia"/>
                <w:kern w:val="0"/>
                <w:sz w:val="22"/>
              </w:rPr>
              <w:t>预期性</w:t>
            </w:r>
          </w:p>
        </w:tc>
      </w:tr>
    </w:tbl>
    <w:p w:rsidR="00621FC3" w:rsidRDefault="00F76B79" w:rsidP="002C3AF5">
      <w:pPr>
        <w:pStyle w:val="2"/>
        <w:spacing w:line="620" w:lineRule="exact"/>
        <w:ind w:firstLine="640"/>
        <w:rPr>
          <w:b w:val="0"/>
          <w:bCs w:val="0"/>
          <w:color w:val="auto"/>
        </w:rPr>
      </w:pPr>
      <w:r>
        <w:rPr>
          <w:rFonts w:hint="eastAsia"/>
          <w:b w:val="0"/>
          <w:bCs w:val="0"/>
          <w:color w:val="auto"/>
        </w:rPr>
        <w:t>三、加强就业促进行动，推动更加充分更高质量就业</w:t>
      </w:r>
      <w:bookmarkEnd w:id="72"/>
      <w:bookmarkEnd w:id="73"/>
    </w:p>
    <w:p w:rsidR="00621FC3" w:rsidRDefault="00F76B79">
      <w:pPr>
        <w:pStyle w:val="a1"/>
        <w:spacing w:line="620" w:lineRule="exact"/>
        <w:ind w:firstLine="640"/>
        <w:rPr>
          <w:color w:val="auto"/>
        </w:rPr>
      </w:pPr>
      <w:bookmarkStart w:id="74" w:name="OLE_LINK356"/>
      <w:bookmarkStart w:id="75" w:name="OLE_LINK355"/>
      <w:r>
        <w:rPr>
          <w:rFonts w:hint="eastAsia"/>
          <w:color w:val="auto"/>
        </w:rPr>
        <w:t>全面强化就业优先政策，</w:t>
      </w:r>
      <w:bookmarkEnd w:id="74"/>
      <w:bookmarkEnd w:id="75"/>
      <w:r>
        <w:rPr>
          <w:rFonts w:hint="eastAsia"/>
          <w:color w:val="auto"/>
        </w:rPr>
        <w:t>健全就业促进长效机制，激发创新创业带动就业，催生经济社会发展新动力，积极开展重点群体精准就业帮扶工作，健全适应就业创业需要的职业技能培训制度和灵活高效的公共就业服务体系，完善就业信息动态监测和失业预警系统，着力缓解结构性就业矛盾，推动精准就业服务提质增效，实现更加充分、更高质量的就业。</w:t>
      </w:r>
    </w:p>
    <w:p w:rsidR="00621FC3" w:rsidRDefault="00F76B79">
      <w:pPr>
        <w:pStyle w:val="3"/>
        <w:spacing w:line="620" w:lineRule="exact"/>
        <w:rPr>
          <w:rFonts w:ascii="楷体_GB2312" w:eastAsia="楷体_GB2312" w:hAnsi="楷体_GB2312" w:cs="楷体_GB2312"/>
          <w:color w:val="auto"/>
        </w:rPr>
      </w:pPr>
      <w:bookmarkStart w:id="76" w:name="_Toc57503993"/>
      <w:bookmarkStart w:id="77" w:name="_Toc60730650"/>
      <w:r>
        <w:rPr>
          <w:rFonts w:ascii="楷体_GB2312" w:eastAsia="楷体_GB2312" w:hAnsi="楷体_GB2312" w:cs="楷体_GB2312" w:hint="eastAsia"/>
          <w:color w:val="auto"/>
        </w:rPr>
        <w:t>（一）强化就业优先政策</w:t>
      </w:r>
      <w:bookmarkEnd w:id="76"/>
      <w:bookmarkEnd w:id="77"/>
    </w:p>
    <w:p w:rsidR="00621FC3" w:rsidRDefault="00F76B79">
      <w:pPr>
        <w:pStyle w:val="a1"/>
        <w:spacing w:line="620" w:lineRule="exact"/>
        <w:ind w:firstLine="640"/>
        <w:rPr>
          <w:color w:val="auto"/>
        </w:rPr>
      </w:pPr>
      <w:r>
        <w:rPr>
          <w:rFonts w:hint="eastAsia"/>
          <w:color w:val="auto"/>
        </w:rPr>
        <w:t>全面贯彻《中华人民共和国就业促进法》等法律法规，注重就业政策与财税、金融、产业、贸易等经济政策的衔接配套、协调联动，实现扩大就业与经济发展的良性互动，健全促进就业的长效机制。</w:t>
      </w:r>
    </w:p>
    <w:p w:rsidR="00621FC3" w:rsidRDefault="00F76B79">
      <w:pPr>
        <w:pStyle w:val="a1"/>
        <w:spacing w:line="620" w:lineRule="exact"/>
        <w:ind w:firstLine="640"/>
        <w:rPr>
          <w:color w:val="auto"/>
        </w:rPr>
      </w:pPr>
      <w:r>
        <w:rPr>
          <w:rFonts w:hint="eastAsia"/>
          <w:color w:val="auto"/>
        </w:rPr>
        <w:t>因应国内外经济发展的新形势，发挥招商引资以及政府投资对就业创业的拉动作用，稳定外贸扩大就业岗位，重视并积极发挥现代服务业、中小微企业、民营企业以及灵活就</w:t>
      </w:r>
      <w:r>
        <w:rPr>
          <w:rFonts w:hint="eastAsia"/>
          <w:color w:val="auto"/>
        </w:rPr>
        <w:lastRenderedPageBreak/>
        <w:t>业和新兴业态的扩展就业容量能力。以龙头企业为牵引，推动全产业链就业，优化精准就业招聘和用工服务，挖掘新的就业增长点，培育壮大新动能拓宽就业渠道。优化促进就业工作机制，健全考核、监督和评价机制，提高就业创业指标考核权重，强化各部门促进就业责任。</w:t>
      </w:r>
    </w:p>
    <w:p w:rsidR="00621FC3" w:rsidRDefault="00F76B79">
      <w:pPr>
        <w:pStyle w:val="3"/>
        <w:spacing w:line="620" w:lineRule="exact"/>
        <w:rPr>
          <w:rFonts w:ascii="楷体_GB2312" w:eastAsia="楷体_GB2312" w:hAnsi="楷体_GB2312" w:cs="楷体_GB2312"/>
          <w:color w:val="auto"/>
        </w:rPr>
      </w:pPr>
      <w:bookmarkStart w:id="78" w:name="_Toc57503994"/>
      <w:bookmarkStart w:id="79" w:name="_Toc60730651"/>
      <w:r>
        <w:rPr>
          <w:rFonts w:ascii="楷体_GB2312" w:eastAsia="楷体_GB2312" w:hAnsi="楷体_GB2312" w:cs="楷体_GB2312" w:hint="eastAsia"/>
          <w:color w:val="auto"/>
        </w:rPr>
        <w:t>（二）推动大众创新创业</w:t>
      </w:r>
      <w:bookmarkEnd w:id="78"/>
      <w:bookmarkEnd w:id="79"/>
    </w:p>
    <w:p w:rsidR="00621FC3" w:rsidRDefault="00F76B79">
      <w:pPr>
        <w:pStyle w:val="a1"/>
        <w:spacing w:line="620" w:lineRule="exact"/>
        <w:ind w:firstLine="640"/>
        <w:rPr>
          <w:color w:val="auto"/>
        </w:rPr>
      </w:pPr>
      <w:r>
        <w:rPr>
          <w:rFonts w:hint="eastAsia"/>
          <w:color w:val="auto"/>
        </w:rPr>
        <w:t>完善创业激励机制。加大创业政策扶持力度，落实支持创业以及创业带动就业的优惠政策，出台适合本市的激励政策措施，激发大众创业、万众创新活力。扩大创业扶持政策对象范围，简化办理流程，加大优惠力度，为更多群体参与创新创业增添动力。</w:t>
      </w:r>
    </w:p>
    <w:p w:rsidR="00621FC3" w:rsidRDefault="00F76B79">
      <w:pPr>
        <w:pStyle w:val="a1"/>
        <w:spacing w:line="620" w:lineRule="exact"/>
        <w:ind w:firstLine="640"/>
        <w:rPr>
          <w:color w:val="auto"/>
        </w:rPr>
      </w:pPr>
      <w:r>
        <w:rPr>
          <w:rFonts w:hint="eastAsia"/>
          <w:color w:val="auto"/>
        </w:rPr>
        <w:t>健全创业社会支持体系。</w:t>
      </w:r>
      <w:r>
        <w:rPr>
          <w:color w:val="auto"/>
        </w:rPr>
        <w:t>打造全生态、专业化、多层次的创业服务体系，</w:t>
      </w:r>
      <w:r>
        <w:rPr>
          <w:rFonts w:hint="eastAsia"/>
          <w:color w:val="auto"/>
        </w:rPr>
        <w:t>积极培育创业生态，打造创业大本营、创业孵化示范基地等</w:t>
      </w:r>
      <w:r>
        <w:rPr>
          <w:color w:val="auto"/>
        </w:rPr>
        <w:t>特色化、功能化、高质量的创业平台载体</w:t>
      </w:r>
      <w:r>
        <w:rPr>
          <w:rFonts w:hint="eastAsia"/>
          <w:color w:val="auto"/>
        </w:rPr>
        <w:t>，为企业创新孵化提供创业要素支持。积极开展促进创业带动就业政策宣传工作，营造有利于创业的政策环境和社会舆论环境。以政策支持为基础，引导社会资本激发创新创业活力，保障促进创业工作有序开展。培育典型、树立标杆，激活各行各业开展创新创业活动的动力和潜力。</w:t>
      </w:r>
    </w:p>
    <w:p w:rsidR="00621FC3" w:rsidRDefault="00F76B79">
      <w:pPr>
        <w:pStyle w:val="a1"/>
        <w:spacing w:line="620" w:lineRule="exact"/>
        <w:ind w:firstLine="640"/>
        <w:rPr>
          <w:color w:val="auto"/>
        </w:rPr>
      </w:pPr>
      <w:r>
        <w:rPr>
          <w:rFonts w:hint="eastAsia"/>
          <w:color w:val="auto"/>
        </w:rPr>
        <w:t>塑造创业精神，培育劳动者创业能力，增添创新创业持久动能。健全创业指导机制，发挥创业专家作用，分类推进各类创业主体自主创业，构建满足包括潜在创业者、意向创</w:t>
      </w:r>
      <w:r>
        <w:rPr>
          <w:rFonts w:hint="eastAsia"/>
          <w:color w:val="auto"/>
        </w:rPr>
        <w:lastRenderedPageBreak/>
        <w:t>业者和初期创业者等在内的各类劳动者创业指导体系，为创业者提供全方位、多角度、针对性的创业服务。充分利用本市高校资源优势，鼓励各类</w:t>
      </w:r>
      <w:r>
        <w:rPr>
          <w:color w:val="auto"/>
        </w:rPr>
        <w:t>院</w:t>
      </w:r>
      <w:r>
        <w:rPr>
          <w:rFonts w:hint="eastAsia"/>
          <w:color w:val="auto"/>
        </w:rPr>
        <w:t>校开展形式多样的创业教育，</w:t>
      </w:r>
      <w:r>
        <w:rPr>
          <w:color w:val="auto"/>
        </w:rPr>
        <w:t>提升</w:t>
      </w:r>
      <w:r>
        <w:rPr>
          <w:rFonts w:hint="eastAsia"/>
          <w:color w:val="auto"/>
        </w:rPr>
        <w:t>创</w:t>
      </w:r>
      <w:r>
        <w:rPr>
          <w:color w:val="auto"/>
        </w:rPr>
        <w:t>业</w:t>
      </w:r>
      <w:r>
        <w:rPr>
          <w:rFonts w:hint="eastAsia"/>
          <w:color w:val="auto"/>
        </w:rPr>
        <w:t>能力，为促进创新创业奠定基础。</w:t>
      </w:r>
    </w:p>
    <w:p w:rsidR="00621FC3" w:rsidRDefault="00F76B79">
      <w:pPr>
        <w:pStyle w:val="3"/>
        <w:spacing w:line="620" w:lineRule="exact"/>
        <w:rPr>
          <w:rFonts w:ascii="楷体_GB2312" w:eastAsia="楷体_GB2312" w:hAnsi="楷体_GB2312" w:cs="楷体_GB2312"/>
          <w:color w:val="auto"/>
        </w:rPr>
      </w:pPr>
      <w:bookmarkStart w:id="80" w:name="_Toc57503995"/>
      <w:bookmarkStart w:id="81" w:name="_Toc60730652"/>
      <w:bookmarkStart w:id="82" w:name="OLE_LINK331"/>
      <w:r>
        <w:rPr>
          <w:rFonts w:ascii="楷体_GB2312" w:eastAsia="楷体_GB2312" w:hAnsi="楷体_GB2312" w:cs="楷体_GB2312" w:hint="eastAsia"/>
          <w:color w:val="auto"/>
        </w:rPr>
        <w:t>（三）健全重点群体就业精准帮扶机制</w:t>
      </w:r>
      <w:bookmarkEnd w:id="80"/>
      <w:bookmarkEnd w:id="81"/>
      <w:bookmarkEnd w:id="82"/>
    </w:p>
    <w:p w:rsidR="00621FC3" w:rsidRDefault="00F76B79">
      <w:pPr>
        <w:pStyle w:val="a1"/>
        <w:spacing w:line="620" w:lineRule="exact"/>
        <w:ind w:firstLine="640"/>
        <w:rPr>
          <w:bCs/>
          <w:color w:val="auto"/>
        </w:rPr>
      </w:pPr>
      <w:r>
        <w:rPr>
          <w:rFonts w:hint="eastAsia"/>
          <w:bCs/>
          <w:color w:val="auto"/>
        </w:rPr>
        <w:t>千方百计促进高校毕业生就业创业。在事业单位招聘、公务员录用、国有企业招聘等方面，拓宽高校毕业生就业渠道。</w:t>
      </w:r>
      <w:r>
        <w:rPr>
          <w:rFonts w:hint="eastAsia"/>
          <w:color w:val="auto"/>
        </w:rPr>
        <w:t>完善高校毕业生就业创业服务平台，进一步强化高等院校与企业的战略合作机制，搭建高校毕业生与用人单位之间的信息沟通桥梁。</w:t>
      </w:r>
      <w:r>
        <w:rPr>
          <w:rFonts w:hint="eastAsia"/>
          <w:bCs/>
          <w:color w:val="auto"/>
        </w:rPr>
        <w:t>鼓励高校毕业生创新创业，</w:t>
      </w:r>
      <w:r>
        <w:rPr>
          <w:rFonts w:hint="eastAsia"/>
          <w:color w:val="auto"/>
        </w:rPr>
        <w:t>优化高校毕业生就业创业服务政策，拓宽高校毕业生就业渠道与就业形式</w:t>
      </w:r>
      <w:r>
        <w:rPr>
          <w:rFonts w:hint="eastAsia"/>
          <w:bCs/>
          <w:color w:val="auto"/>
        </w:rPr>
        <w:t>。</w:t>
      </w:r>
      <w:r>
        <w:rPr>
          <w:rFonts w:hint="eastAsia"/>
          <w:color w:val="auto"/>
        </w:rPr>
        <w:t>以职业培训、职业见习为基础，以就业援助为辅助，增强高校毕业生工作适应能力，提高就业竞争力。</w:t>
      </w:r>
      <w:r>
        <w:rPr>
          <w:rFonts w:hint="eastAsia"/>
          <w:bCs/>
          <w:color w:val="auto"/>
        </w:rPr>
        <w:t>支持中小微企业吸纳高校毕业生就业。鼓励高校毕业生应征入伍。开发基层公益性岗位，重点保障困难家庭未就业高校毕业生和退役大学毕业生士兵。</w:t>
      </w:r>
    </w:p>
    <w:p w:rsidR="00621FC3" w:rsidRDefault="00F76B79">
      <w:pPr>
        <w:pStyle w:val="a1"/>
        <w:spacing w:line="620" w:lineRule="exact"/>
        <w:ind w:firstLine="640"/>
        <w:rPr>
          <w:color w:val="auto"/>
        </w:rPr>
      </w:pPr>
      <w:r>
        <w:rPr>
          <w:rFonts w:hint="eastAsia"/>
          <w:bCs/>
          <w:color w:val="auto"/>
        </w:rPr>
        <w:t>开展农村富余劳动力、</w:t>
      </w:r>
      <w:bookmarkStart w:id="83" w:name="OLE_LINK404"/>
      <w:bookmarkStart w:id="84" w:name="OLE_LINK721"/>
      <w:bookmarkStart w:id="85" w:name="OLE_LINK720"/>
      <w:r>
        <w:rPr>
          <w:rFonts w:hint="eastAsia"/>
          <w:color w:val="auto"/>
        </w:rPr>
        <w:t>被征地和海域退养人员</w:t>
      </w:r>
      <w:bookmarkEnd w:id="83"/>
      <w:bookmarkEnd w:id="84"/>
      <w:bookmarkEnd w:id="85"/>
      <w:r>
        <w:rPr>
          <w:rFonts w:hint="eastAsia"/>
          <w:bCs/>
          <w:color w:val="auto"/>
        </w:rPr>
        <w:t>就业扶助。</w:t>
      </w:r>
      <w:bookmarkStart w:id="86" w:name="OLE_LINK405"/>
      <w:bookmarkStart w:id="87" w:name="OLE_LINK406"/>
      <w:r>
        <w:rPr>
          <w:rFonts w:hint="eastAsia"/>
          <w:color w:val="auto"/>
        </w:rPr>
        <w:t>摸清被征地和海域退养人员就业需求，加强就业精准帮扶</w:t>
      </w:r>
      <w:bookmarkEnd w:id="86"/>
      <w:bookmarkEnd w:id="87"/>
      <w:r>
        <w:rPr>
          <w:rFonts w:hint="eastAsia"/>
          <w:color w:val="auto"/>
        </w:rPr>
        <w:t>。提高被征地和海域退养人员就业指导、就业技能培训的针对性与有效性、就业推介的适用性和灵活性，依托社保补贴、就业补助、公益性岗位托底等政策，鼓励被征地和海域退养人员实现就业创业。</w:t>
      </w:r>
    </w:p>
    <w:p w:rsidR="00621FC3" w:rsidRDefault="00F76B79">
      <w:pPr>
        <w:pStyle w:val="a1"/>
        <w:spacing w:line="620" w:lineRule="exact"/>
        <w:ind w:firstLine="640"/>
        <w:rPr>
          <w:rFonts w:cs="仿宋"/>
          <w:color w:val="auto"/>
        </w:rPr>
      </w:pPr>
      <w:r>
        <w:rPr>
          <w:rFonts w:hint="eastAsia"/>
          <w:color w:val="auto"/>
        </w:rPr>
        <w:lastRenderedPageBreak/>
        <w:t>精准帮扶就业困难群体。完善就业困难群体数据库，强化就业困难群体实名制登记工作，健全针对就业困难群体的登记识别、就业培训以及退出服务体系。增强对就业困难群体的帮扶援助力度，</w:t>
      </w:r>
      <w:r>
        <w:rPr>
          <w:rFonts w:cs="仿宋" w:hint="eastAsia"/>
          <w:color w:val="auto"/>
        </w:rPr>
        <w:t>加大公益性岗位开发力度，强化公益性岗位托底安置，确保零就业家庭动态清零。</w:t>
      </w:r>
    </w:p>
    <w:p w:rsidR="00621FC3" w:rsidRDefault="00F76B79" w:rsidP="002C3AF5">
      <w:pPr>
        <w:pStyle w:val="3"/>
        <w:spacing w:line="620" w:lineRule="exact"/>
        <w:ind w:firstLineChars="150" w:firstLine="482"/>
        <w:rPr>
          <w:rFonts w:ascii="楷体_GB2312" w:eastAsia="楷体_GB2312" w:hAnsi="楷体_GB2312" w:cs="楷体_GB2312"/>
          <w:color w:val="auto"/>
        </w:rPr>
      </w:pPr>
      <w:bookmarkStart w:id="88" w:name="_Toc60730653"/>
      <w:bookmarkStart w:id="89" w:name="_Toc57503996"/>
      <w:r>
        <w:rPr>
          <w:rFonts w:ascii="楷体_GB2312" w:eastAsia="楷体_GB2312" w:hAnsi="楷体_GB2312" w:cs="楷体_GB2312" w:hint="eastAsia"/>
          <w:color w:val="auto"/>
        </w:rPr>
        <w:t>（四）强化失业风险监测预警机制</w:t>
      </w:r>
      <w:bookmarkEnd w:id="88"/>
      <w:bookmarkEnd w:id="89"/>
    </w:p>
    <w:p w:rsidR="00621FC3" w:rsidRDefault="00F76B79">
      <w:pPr>
        <w:pStyle w:val="a1"/>
        <w:spacing w:line="620" w:lineRule="exact"/>
        <w:ind w:firstLine="640"/>
        <w:rPr>
          <w:color w:val="auto"/>
        </w:rPr>
      </w:pPr>
      <w:r>
        <w:rPr>
          <w:rFonts w:hint="eastAsia"/>
          <w:color w:val="auto"/>
        </w:rPr>
        <w:t>加强失业风险动态监测。健全就业信息平台，实施分类管理、重点服务，及时掌握企业与劳动者基本情况，加强预测劳动力供求发展趋势，建立全方位、立体化的失业风险动态监测机制。</w:t>
      </w:r>
    </w:p>
    <w:p w:rsidR="00621FC3" w:rsidRDefault="00F76B79">
      <w:pPr>
        <w:pStyle w:val="a1"/>
        <w:spacing w:line="620" w:lineRule="exact"/>
        <w:ind w:firstLine="640"/>
        <w:rPr>
          <w:color w:val="auto"/>
        </w:rPr>
      </w:pPr>
      <w:r>
        <w:rPr>
          <w:rFonts w:hint="eastAsia"/>
          <w:color w:val="auto"/>
        </w:rPr>
        <w:t>加强失业预警体系建设。推进就业信息系统和劳动监察、仲裁信息系统互联互通，打造人社大数据平台，提供精准企业用工服务，及时发现企业用工异常情况，科学研判、及时反应。建立失业应急预案，对可能发生的失业风险进行有效调控。完善就业与社会保障联动机制，进一步增强失业保险预防失业、促进就业功能。</w:t>
      </w:r>
    </w:p>
    <w:p w:rsidR="00621FC3" w:rsidRDefault="00F76B79">
      <w:pPr>
        <w:pStyle w:val="3"/>
        <w:spacing w:line="620" w:lineRule="exact"/>
        <w:rPr>
          <w:rFonts w:ascii="楷体_GB2312" w:eastAsia="楷体_GB2312" w:hAnsi="楷体_GB2312" w:cs="楷体_GB2312"/>
          <w:color w:val="auto"/>
        </w:rPr>
      </w:pPr>
      <w:bookmarkStart w:id="90" w:name="_Toc60730654"/>
      <w:bookmarkStart w:id="91" w:name="_Toc57503997"/>
      <w:r>
        <w:rPr>
          <w:rFonts w:ascii="楷体_GB2312" w:eastAsia="楷体_GB2312" w:hAnsi="楷体_GB2312" w:cs="楷体_GB2312" w:hint="eastAsia"/>
          <w:color w:val="auto"/>
        </w:rPr>
        <w:t>（五）打造终身职业技能培训制度</w:t>
      </w:r>
      <w:bookmarkEnd w:id="90"/>
      <w:bookmarkEnd w:id="91"/>
    </w:p>
    <w:p w:rsidR="00621FC3" w:rsidRDefault="00F76B79">
      <w:pPr>
        <w:adjustRightInd w:val="0"/>
        <w:snapToGrid w:val="0"/>
        <w:spacing w:line="620" w:lineRule="exact"/>
        <w:ind w:firstLineChars="200" w:firstLine="640"/>
        <w:rPr>
          <w:rFonts w:ascii="仿宋_GB2312" w:eastAsia="仿宋_GB2312"/>
          <w:sz w:val="32"/>
          <w:szCs w:val="32"/>
        </w:rPr>
      </w:pPr>
      <w:bookmarkStart w:id="92" w:name="OLE_LINK424"/>
      <w:bookmarkStart w:id="93" w:name="OLE_LINK423"/>
      <w:r>
        <w:rPr>
          <w:rFonts w:ascii="仿宋_GB2312" w:eastAsia="仿宋_GB2312" w:hint="eastAsia"/>
          <w:sz w:val="32"/>
          <w:szCs w:val="32"/>
        </w:rPr>
        <w:t>建立面向城乡全体劳动者，适应就业创业和技能人才成长需要的终身职业技能培训制度。广泛开展职业技能培训</w:t>
      </w:r>
      <w:bookmarkEnd w:id="92"/>
      <w:bookmarkEnd w:id="93"/>
      <w:r>
        <w:rPr>
          <w:rFonts w:ascii="仿宋_GB2312" w:eastAsia="仿宋_GB2312" w:hint="eastAsia"/>
          <w:sz w:val="32"/>
          <w:szCs w:val="32"/>
        </w:rPr>
        <w:t>，推进企业职工、农村转移就业劳动者、城乡未升学初高中毕业生、下岗失业人员、就业困难人员等重点群体培训，充分发挥社会培训机构作用，多形式多渠道开展就业技能培训、</w:t>
      </w:r>
      <w:r>
        <w:rPr>
          <w:rFonts w:ascii="仿宋_GB2312" w:eastAsia="仿宋_GB2312" w:hint="eastAsia"/>
          <w:sz w:val="32"/>
          <w:szCs w:val="32"/>
        </w:rPr>
        <w:lastRenderedPageBreak/>
        <w:t>岗位技能提升培训和创业培训，提升劳动者技能水平和收入水平。强化培训质量监管，促进更高质量就业。</w:t>
      </w:r>
      <w:bookmarkStart w:id="94" w:name="OLE_LINK38"/>
      <w:bookmarkStart w:id="95" w:name="OLE_LINK37"/>
    </w:p>
    <w:p w:rsidR="00621FC3" w:rsidRDefault="00F76B79">
      <w:pPr>
        <w:pStyle w:val="3"/>
        <w:spacing w:line="620" w:lineRule="exact"/>
        <w:rPr>
          <w:rFonts w:ascii="楷体_GB2312" w:eastAsia="楷体_GB2312" w:hAnsi="楷体_GB2312" w:cs="楷体_GB2312"/>
          <w:color w:val="auto"/>
        </w:rPr>
      </w:pPr>
      <w:bookmarkStart w:id="96" w:name="_Toc60730655"/>
      <w:bookmarkStart w:id="97" w:name="_Toc57503998"/>
      <w:bookmarkEnd w:id="94"/>
      <w:bookmarkEnd w:id="95"/>
      <w:r>
        <w:rPr>
          <w:rFonts w:ascii="楷体_GB2312" w:eastAsia="楷体_GB2312" w:hAnsi="楷体_GB2312" w:cs="楷体_GB2312" w:hint="eastAsia"/>
          <w:color w:val="auto"/>
        </w:rPr>
        <w:t>（六）健全公共就业服务体系</w:t>
      </w:r>
      <w:bookmarkEnd w:id="96"/>
      <w:bookmarkEnd w:id="97"/>
    </w:p>
    <w:p w:rsidR="00621FC3" w:rsidRDefault="00F76B79">
      <w:pPr>
        <w:pStyle w:val="a1"/>
        <w:spacing w:line="620" w:lineRule="exact"/>
        <w:ind w:firstLine="640"/>
        <w:rPr>
          <w:color w:val="auto"/>
        </w:rPr>
      </w:pPr>
      <w:r>
        <w:rPr>
          <w:rFonts w:hint="eastAsia"/>
          <w:color w:val="auto"/>
        </w:rPr>
        <w:t>健全就业服务体系。明确市、区就业服务机构的职能定位，构建多级联动机制。强化就业信息服务、就业援助、就业培训等制度建设，构建职业指导、职业介绍、技能培训、创业指导、补贴发放等全程服务的质量标准体系。强化基层组织对就业服务的供给能力，加大财政支持和资源分配力度。推进公共就业服务规范化和标准化建设，强化就业服务能力建设。</w:t>
      </w:r>
    </w:p>
    <w:p w:rsidR="00621FC3" w:rsidRDefault="00F76B79">
      <w:pPr>
        <w:pStyle w:val="a1"/>
        <w:spacing w:line="620" w:lineRule="exact"/>
        <w:ind w:firstLine="640"/>
        <w:rPr>
          <w:color w:val="auto"/>
        </w:rPr>
      </w:pPr>
      <w:r>
        <w:rPr>
          <w:rFonts w:hint="eastAsia"/>
          <w:color w:val="auto"/>
        </w:rPr>
        <w:t>发挥就业大数据平台优势。利用“互联网+就业服务”，加快优化“112”服务模式（即每年至少上门走访1次、提供1种职业技能培训、进行2次岗位推荐），打通企业与劳动者的信息沟通渠道。推进与相关业务部门信息共享网络的建立，及时掌握企业、劳动者基本情况，衔接社会保障、教育培训、劳动关系构建等信息系统，实现就业信息精准匹配推送，缓解结构性就业矛盾。</w:t>
      </w:r>
    </w:p>
    <w:p w:rsidR="00621FC3" w:rsidRDefault="00F76B79">
      <w:pPr>
        <w:pStyle w:val="a1"/>
        <w:spacing w:line="620" w:lineRule="exact"/>
        <w:ind w:firstLine="640"/>
        <w:rPr>
          <w:color w:val="auto"/>
        </w:rPr>
      </w:pPr>
      <w:r>
        <w:rPr>
          <w:rFonts w:hint="eastAsia"/>
          <w:color w:val="auto"/>
        </w:rPr>
        <w:t>完善就业创业服务机制，为推动精准就业提供全方位支撑。依托政府购买公共服务，鼓励社会力量参与就业创业服务。创新就业服务供给方式，健全公共就业服务市场化机制。</w:t>
      </w:r>
    </w:p>
    <w:p w:rsidR="00621FC3" w:rsidRDefault="00F76B79">
      <w:pPr>
        <w:pStyle w:val="a1"/>
        <w:spacing w:line="620" w:lineRule="exact"/>
        <w:ind w:firstLine="640"/>
        <w:rPr>
          <w:color w:val="auto"/>
        </w:rPr>
      </w:pPr>
      <w:r>
        <w:rPr>
          <w:rFonts w:hint="eastAsia"/>
          <w:color w:val="auto"/>
        </w:rPr>
        <w:t>探索多形式、多渠道就业。鼓励开发社区公益就业、居家就业、社区辅助就业等岗位，完善就业困难群众的就业援</w:t>
      </w:r>
      <w:r>
        <w:rPr>
          <w:rFonts w:hint="eastAsia"/>
          <w:color w:val="auto"/>
        </w:rPr>
        <w:lastRenderedPageBreak/>
        <w:t>助机制。</w:t>
      </w:r>
    </w:p>
    <w:p w:rsidR="00621FC3" w:rsidRDefault="00F76B79">
      <w:pPr>
        <w:pStyle w:val="a1"/>
        <w:spacing w:line="620" w:lineRule="exact"/>
        <w:ind w:firstLine="640"/>
        <w:rPr>
          <w:color w:val="auto"/>
        </w:rPr>
      </w:pPr>
      <w:r>
        <w:rPr>
          <w:rFonts w:hint="eastAsia"/>
          <w:color w:val="auto"/>
        </w:rPr>
        <w:t>探索厦台两地就业深度融合，鼓励台胞来厦就业创业，完善台湾青年来厦实习就业创业政策支持和服务体系，培育和提升一批两岸青年就业创业基地和实习实训基地，推动台胞在就业创业指导、技能培训、补贴发放等方面与我市居民享受同等待遇，实现与金门等两岸近邻地区公共就业服务均等化、普惠化、便捷化。</w:t>
      </w:r>
    </w:p>
    <w:p w:rsidR="00621FC3" w:rsidRDefault="00F76B79" w:rsidP="002C3AF5">
      <w:pPr>
        <w:pStyle w:val="2"/>
        <w:spacing w:line="620" w:lineRule="exact"/>
        <w:ind w:firstLine="640"/>
        <w:rPr>
          <w:b w:val="0"/>
          <w:bCs w:val="0"/>
          <w:color w:val="auto"/>
        </w:rPr>
      </w:pPr>
      <w:bookmarkStart w:id="98" w:name="_Toc57503999"/>
      <w:bookmarkStart w:id="99" w:name="_Toc59084070"/>
      <w:bookmarkStart w:id="100" w:name="_Toc60730656"/>
      <w:bookmarkStart w:id="101" w:name="_Toc57504005"/>
      <w:r>
        <w:rPr>
          <w:rFonts w:hint="eastAsia"/>
          <w:b w:val="0"/>
          <w:bCs w:val="0"/>
          <w:color w:val="auto"/>
        </w:rPr>
        <w:t>四、推进人才强市战略，</w:t>
      </w:r>
      <w:bookmarkEnd w:id="98"/>
      <w:r>
        <w:rPr>
          <w:rFonts w:hint="eastAsia"/>
          <w:b w:val="0"/>
          <w:bCs w:val="0"/>
          <w:color w:val="auto"/>
        </w:rPr>
        <w:t>构筑人力资源发展新高地</w:t>
      </w:r>
      <w:bookmarkEnd w:id="99"/>
      <w:bookmarkEnd w:id="100"/>
    </w:p>
    <w:p w:rsidR="00621FC3" w:rsidRDefault="00F76B79">
      <w:pPr>
        <w:pStyle w:val="a1"/>
        <w:spacing w:line="620" w:lineRule="exact"/>
        <w:ind w:firstLine="640"/>
        <w:rPr>
          <w:color w:val="auto"/>
        </w:rPr>
      </w:pPr>
      <w:r>
        <w:rPr>
          <w:rFonts w:hint="eastAsia"/>
          <w:color w:val="auto"/>
        </w:rPr>
        <w:t>加快推进人才强市战略，</w:t>
      </w:r>
      <w:bookmarkStart w:id="102" w:name="OLE_LINK791"/>
      <w:bookmarkStart w:id="103" w:name="OLE_LINK792"/>
      <w:r>
        <w:rPr>
          <w:rFonts w:hint="eastAsia"/>
          <w:color w:val="auto"/>
        </w:rPr>
        <w:t>深入推进人才发展体制机制</w:t>
      </w:r>
      <w:bookmarkEnd w:id="102"/>
      <w:bookmarkEnd w:id="103"/>
      <w:r>
        <w:rPr>
          <w:rFonts w:hint="eastAsia"/>
          <w:color w:val="auto"/>
        </w:rPr>
        <w:t>改革创新，优化人才交流合作机制，完善人才保障和激励政策，加快提升人才生态和公共服务质量，激发创新创业人才活力，推动人才工作市场化、专业化、科学化，建设具有国际影响力的创新创业人才培育中心和集聚高地，为经济社会全方位高质量发展超越提供高素质人才队伍支撑。</w:t>
      </w:r>
    </w:p>
    <w:p w:rsidR="00621FC3" w:rsidRDefault="00F76B79">
      <w:pPr>
        <w:pStyle w:val="3"/>
        <w:spacing w:line="620" w:lineRule="exact"/>
        <w:rPr>
          <w:rFonts w:ascii="楷体_GB2312" w:eastAsia="楷体_GB2312" w:hAnsi="楷体_GB2312" w:cs="楷体_GB2312"/>
          <w:color w:val="auto"/>
        </w:rPr>
      </w:pPr>
      <w:bookmarkStart w:id="104" w:name="_Toc57504000"/>
      <w:bookmarkStart w:id="105" w:name="_Toc60730657"/>
      <w:bookmarkStart w:id="106" w:name="_Toc59084071"/>
      <w:r>
        <w:rPr>
          <w:rFonts w:ascii="楷体_GB2312" w:eastAsia="楷体_GB2312" w:hAnsi="楷体_GB2312" w:cs="楷体_GB2312" w:hint="eastAsia"/>
          <w:color w:val="auto"/>
        </w:rPr>
        <w:t>（一）深化人才体制机制改革</w:t>
      </w:r>
      <w:bookmarkEnd w:id="104"/>
      <w:bookmarkEnd w:id="105"/>
      <w:bookmarkEnd w:id="106"/>
    </w:p>
    <w:p w:rsidR="00621FC3" w:rsidRDefault="00F76B79">
      <w:pPr>
        <w:pStyle w:val="a1"/>
        <w:spacing w:line="620" w:lineRule="exact"/>
        <w:ind w:firstLine="640"/>
        <w:rPr>
          <w:color w:val="auto"/>
        </w:rPr>
      </w:pPr>
      <w:bookmarkStart w:id="107" w:name="OLE_LINK9"/>
      <w:bookmarkStart w:id="108" w:name="OLE_LINK8"/>
      <w:r>
        <w:rPr>
          <w:rFonts w:hint="eastAsia"/>
          <w:color w:val="auto"/>
        </w:rPr>
        <w:t>完善高层次人才集聚长效机制。</w:t>
      </w:r>
      <w:bookmarkEnd w:id="107"/>
      <w:bookmarkEnd w:id="108"/>
      <w:r>
        <w:rPr>
          <w:rFonts w:hAnsi="仿宋_GB2312" w:hint="eastAsia"/>
          <w:color w:val="auto"/>
        </w:rPr>
        <w:t>健全高层次人才引进机制，</w:t>
      </w:r>
      <w:r>
        <w:rPr>
          <w:rFonts w:hint="eastAsia"/>
          <w:color w:val="auto"/>
        </w:rPr>
        <w:t>瞄准新时代人才建设需求，大力</w:t>
      </w:r>
      <w:r>
        <w:rPr>
          <w:rFonts w:hAnsi="仿宋_GB2312" w:hint="eastAsia"/>
          <w:color w:val="auto"/>
        </w:rPr>
        <w:t>引进国际国内领先水平的高层次创新人才和领军型创业人才。</w:t>
      </w:r>
      <w:r>
        <w:rPr>
          <w:rFonts w:hint="eastAsia"/>
          <w:color w:val="auto"/>
        </w:rPr>
        <w:t>构建与经济社会发展深度融合的人才管理、引进培养、评价激励、服务保障机制，注重发挥市场配置作用，推动人才分类评价改革，提升人才培养与评价市场化、专业化水平。围绕我市经济社会发展需要，不断加大政策扶持力度，积极拓展引才渠道，健全人才</w:t>
      </w:r>
      <w:r>
        <w:rPr>
          <w:rFonts w:hint="eastAsia"/>
          <w:color w:val="auto"/>
        </w:rPr>
        <w:lastRenderedPageBreak/>
        <w:t>集聚长效机制，增强高层次人才吸引力。</w:t>
      </w:r>
    </w:p>
    <w:p w:rsidR="00621FC3" w:rsidRDefault="00F76B79">
      <w:pPr>
        <w:pStyle w:val="a1"/>
        <w:spacing w:line="620" w:lineRule="exact"/>
        <w:ind w:firstLine="640"/>
        <w:rPr>
          <w:color w:val="auto"/>
        </w:rPr>
      </w:pPr>
      <w:r>
        <w:rPr>
          <w:rFonts w:hint="eastAsia"/>
          <w:color w:val="auto"/>
        </w:rPr>
        <w:t>优化海外高端人才引进机制。推动海外高端人才引才体制机制创新，扩宽引才视野，发挥海外创业大赛、“春晖杯”创新创业大赛、“海交会”等引才平台作用，以赛引才、以会引智，打造多元引才渠道，加速海内外英才集聚，吸引海外高端人才来厦对接、落地发展。</w:t>
      </w:r>
    </w:p>
    <w:p w:rsidR="00621FC3" w:rsidRDefault="00F76B79">
      <w:pPr>
        <w:pStyle w:val="a1"/>
        <w:spacing w:line="620" w:lineRule="exact"/>
        <w:ind w:firstLine="640"/>
        <w:rPr>
          <w:color w:val="auto"/>
        </w:rPr>
      </w:pPr>
      <w:r>
        <w:rPr>
          <w:rFonts w:hint="eastAsia"/>
          <w:color w:val="auto"/>
        </w:rPr>
        <w:t>健全高校毕业生引进机制。加强与重点高校建立战略合作关系，搭建高校引才联络平台，强化线上线下招聘服务，充分挖掘省内外高校毕业生资源，鼓励本地高校毕业生留厦就业创业，推进高校毕业生引进工作。</w:t>
      </w:r>
    </w:p>
    <w:p w:rsidR="00621FC3" w:rsidRDefault="00F76B79">
      <w:pPr>
        <w:pStyle w:val="a1"/>
        <w:spacing w:line="620" w:lineRule="exact"/>
        <w:ind w:firstLine="640"/>
        <w:rPr>
          <w:color w:val="auto"/>
        </w:rPr>
      </w:pPr>
      <w:r>
        <w:rPr>
          <w:rFonts w:hint="eastAsia"/>
          <w:color w:val="auto"/>
        </w:rPr>
        <w:t>创新对台人才体制机制。继续贯彻落实中央、省、市惠台政策，强化两岸人才交流机制，深化两岸人才融合，打造台胞登陆第一家园，发挥台湾专业人才对接会、两岸人才机构合作洽谈会等平台作用，为台湾人才机构来厦开展工作提供支持，加大对台引才引智力度；发挥台湾民间团体、企业在两岸人才交流的桥梁纽带作用，深化厦台人力资源机构交流合作。鼓励用人单位提供适合台湾人才的就业实习岗位及招聘方式，进一步推行台湾特聘专家（专才）制度。按照“行业标准共通”要求，推进台湾人才职业资格匹配认定。完善台籍人才就业创业、社会保障、技能培训等服务机制，推动落实生活补贴、住房待遇、创业资金扶持等人才优惠政策。</w:t>
      </w:r>
    </w:p>
    <w:p w:rsidR="00621FC3" w:rsidRDefault="00F76B79">
      <w:pPr>
        <w:pStyle w:val="3"/>
        <w:spacing w:line="620" w:lineRule="exact"/>
        <w:rPr>
          <w:rFonts w:ascii="楷体_GB2312" w:eastAsia="楷体_GB2312" w:hAnsi="楷体_GB2312" w:cs="楷体_GB2312"/>
          <w:color w:val="auto"/>
        </w:rPr>
      </w:pPr>
      <w:bookmarkStart w:id="109" w:name="_Toc59084072"/>
      <w:bookmarkStart w:id="110" w:name="_Toc57504001"/>
      <w:bookmarkStart w:id="111" w:name="_Toc60730658"/>
      <w:r>
        <w:rPr>
          <w:rFonts w:ascii="楷体_GB2312" w:eastAsia="楷体_GB2312" w:hAnsi="楷体_GB2312" w:cs="楷体_GB2312" w:hint="eastAsia"/>
          <w:color w:val="auto"/>
        </w:rPr>
        <w:t>（二）完善人才培养体系</w:t>
      </w:r>
      <w:bookmarkEnd w:id="109"/>
      <w:bookmarkEnd w:id="110"/>
      <w:bookmarkEnd w:id="111"/>
    </w:p>
    <w:p w:rsidR="00621FC3" w:rsidRDefault="00F76B79">
      <w:pPr>
        <w:pStyle w:val="a1"/>
        <w:spacing w:line="620" w:lineRule="exact"/>
        <w:ind w:firstLine="640"/>
        <w:rPr>
          <w:color w:val="auto"/>
        </w:rPr>
      </w:pPr>
      <w:r>
        <w:rPr>
          <w:rFonts w:hint="eastAsia"/>
          <w:color w:val="auto"/>
        </w:rPr>
        <w:lastRenderedPageBreak/>
        <w:t>依托产业发展培育人才。落实“百企千人”培育计划，推进人才培训基地建设，协助举办企业高管、科技创新人才、青年创业骨干等培训，提升本土人才素质水平。鼓励支持重点产业龙头企业联合高校院所建设研究院，开展人才培养、项目转化、技术攻关等，为产业转型升级提供人才支撑。</w:t>
      </w:r>
    </w:p>
    <w:p w:rsidR="00621FC3" w:rsidRDefault="00F76B79">
      <w:pPr>
        <w:pStyle w:val="a1"/>
        <w:spacing w:line="620" w:lineRule="exact"/>
        <w:ind w:firstLine="640"/>
        <w:rPr>
          <w:color w:val="auto"/>
        </w:rPr>
      </w:pPr>
      <w:r>
        <w:rPr>
          <w:rFonts w:hint="eastAsia"/>
          <w:color w:val="auto"/>
        </w:rPr>
        <w:t>加大高技能人才培养力度。深化技能人才评价制度改革，全面推行职业技能等级制度。健全技能人才激励保障办法，提高技术工人各项待遇，开展中华技能大奖、全国技术能手等高水平技能人才选拔培养工作。大力推行新型学徒制，强化用人单位技能人才培养主体责任。加大高技能人才培训基地和技能大师工作室建设力度，提升高技能人才培养质量。建立健全职业技能竞赛体系，广泛开展职业技能竞赛。</w:t>
      </w:r>
    </w:p>
    <w:p w:rsidR="00621FC3" w:rsidRDefault="00F76B79">
      <w:pPr>
        <w:pStyle w:val="a1"/>
        <w:spacing w:line="620" w:lineRule="exact"/>
        <w:ind w:firstLine="640"/>
        <w:rPr>
          <w:color w:val="auto"/>
        </w:rPr>
      </w:pPr>
      <w:r>
        <w:rPr>
          <w:rFonts w:hint="eastAsia"/>
          <w:color w:val="auto"/>
        </w:rPr>
        <w:t>加大技工院校建设力度。构建学校、企业、行业、教育机构间交流合作平台，发挥多方优势，促进产教融合、校企合作，扩大职业教育社会认知度。实施专业动态调整，实现资源优化配置，以强扶弱、强强联合，到2025年，厦门技师学院在校生力争超万人。支持民办技工院校规范发展。</w:t>
      </w:r>
    </w:p>
    <w:p w:rsidR="00621FC3" w:rsidRDefault="00F76B79">
      <w:pPr>
        <w:pStyle w:val="a1"/>
        <w:spacing w:line="620" w:lineRule="exact"/>
        <w:ind w:firstLine="640"/>
        <w:rPr>
          <w:color w:val="auto"/>
        </w:rPr>
      </w:pPr>
      <w:r>
        <w:rPr>
          <w:rFonts w:hint="eastAsia"/>
          <w:color w:val="auto"/>
        </w:rPr>
        <w:t>推动金砖国家各类人才技能培训合作。加快引进和培养金砖国家专家、创新人才和技能人才，推动金砖国家工业能力提升培训基地建设，推进金砖国家职业资格国际互认，推动金砖国家职业教育和尖端技术人力资源开发合作，实施面向金砖国家、企业和研究机构的人力资源开发合作项目，促</w:t>
      </w:r>
      <w:r>
        <w:rPr>
          <w:rFonts w:hint="eastAsia"/>
          <w:color w:val="auto"/>
        </w:rPr>
        <w:lastRenderedPageBreak/>
        <w:t>进人才知识更新和能力素质提升。探索便利金砖国家人才流动体制机制，培育高素质创新创业人才和技能人才，为新工业革命伙伴关系创造坚实的人力资源支撑。</w:t>
      </w:r>
    </w:p>
    <w:p w:rsidR="00621FC3" w:rsidRDefault="00F76B79">
      <w:pPr>
        <w:pStyle w:val="a1"/>
        <w:spacing w:line="620" w:lineRule="exact"/>
        <w:ind w:firstLine="640"/>
        <w:rPr>
          <w:bCs/>
          <w:color w:val="auto"/>
        </w:rPr>
      </w:pPr>
      <w:r>
        <w:rPr>
          <w:rFonts w:hint="eastAsia"/>
          <w:color w:val="auto"/>
        </w:rPr>
        <w:t>加快现代都市型农业人才培养。深入实施乡村振兴人才计划，加大现代都市农业领军人才培育力度，举办领军人才培训班，推动人才培育向中高级人才升级。</w:t>
      </w:r>
      <w:r>
        <w:rPr>
          <w:rFonts w:hint="eastAsia"/>
          <w:bCs/>
          <w:color w:val="auto"/>
        </w:rPr>
        <w:t>积极探索乡村振兴新举措，全面提升农村公共服务水平，</w:t>
      </w:r>
      <w:r>
        <w:rPr>
          <w:rFonts w:hint="eastAsia"/>
          <w:color w:val="auto"/>
        </w:rPr>
        <w:t>集合产业和经营主体发展需求，以新兴职业（行业）孵化农业创业创新人才。持续实施“下派制”和“平台制”科技特派员制度，完善各类科技人才下乡激励办法，探索建立农业职业技能等级认定，推动现代都市型农业人才工作创新，加强农村人才动态管理，增强农民致富本领，提升农民的获得感认同感。</w:t>
      </w:r>
    </w:p>
    <w:p w:rsidR="00621FC3" w:rsidRDefault="00F76B79">
      <w:pPr>
        <w:pStyle w:val="3"/>
        <w:spacing w:line="620" w:lineRule="exact"/>
        <w:rPr>
          <w:rFonts w:ascii="楷体_GB2312" w:eastAsia="楷体_GB2312" w:hAnsi="楷体_GB2312" w:cs="楷体_GB2312"/>
          <w:color w:val="auto"/>
        </w:rPr>
      </w:pPr>
      <w:bookmarkStart w:id="112" w:name="_Toc60730659"/>
      <w:bookmarkStart w:id="113" w:name="_Toc57504002"/>
      <w:bookmarkStart w:id="114" w:name="_Toc59084074"/>
      <w:bookmarkStart w:id="115" w:name="OLE_LINK334"/>
      <w:bookmarkStart w:id="116" w:name="OLE_LINK335"/>
      <w:r>
        <w:rPr>
          <w:rFonts w:ascii="楷体_GB2312" w:eastAsia="楷体_GB2312" w:hAnsi="楷体_GB2312" w:cs="楷体_GB2312" w:hint="eastAsia"/>
          <w:color w:val="auto"/>
        </w:rPr>
        <w:t>（三）优化人才评价体系</w:t>
      </w:r>
      <w:bookmarkEnd w:id="112"/>
      <w:bookmarkEnd w:id="113"/>
      <w:bookmarkEnd w:id="114"/>
    </w:p>
    <w:bookmarkEnd w:id="115"/>
    <w:bookmarkEnd w:id="116"/>
    <w:p w:rsidR="00621FC3" w:rsidRDefault="00F76B79">
      <w:pPr>
        <w:pStyle w:val="a1"/>
        <w:spacing w:line="620" w:lineRule="exact"/>
        <w:ind w:firstLine="640"/>
        <w:rPr>
          <w:color w:val="auto"/>
        </w:rPr>
      </w:pPr>
      <w:r>
        <w:rPr>
          <w:rFonts w:hint="eastAsia"/>
          <w:color w:val="auto"/>
        </w:rPr>
        <w:t>完善人才科学评价体系。科学设立人才评价指标体系，建立健全以创新质量、服务贡献、科教结合绩效为导向的评价体系。探索建立市场化人才评价办法，注重同行评议，实施与国际接轨的人才评价政策。突出第三方对人才建设的作用，引导第三方机构参与到人才认定、考核与激励环节，逐步推动职称按行业进行评审，试点新兴职业（行业）职称评审，建立与社会事业发展相适应的人才评价办法。推进人事考试安全建设，坚持正确的人才评价使用导向，形成公平公正选拔人才办法。</w:t>
      </w:r>
    </w:p>
    <w:p w:rsidR="00621FC3" w:rsidRDefault="00F76B79">
      <w:pPr>
        <w:pStyle w:val="a1"/>
        <w:spacing w:line="620" w:lineRule="exact"/>
        <w:ind w:firstLine="640"/>
        <w:rPr>
          <w:color w:val="auto"/>
        </w:rPr>
      </w:pPr>
      <w:r>
        <w:rPr>
          <w:rFonts w:hint="eastAsia"/>
          <w:color w:val="auto"/>
        </w:rPr>
        <w:lastRenderedPageBreak/>
        <w:t>推动人才评价以用为本。强化用人单位人才评价主体地位，支持用人单位健全人才评价组织管理，促进人才发展与单位使命协调统一。创新区域和行业人才评价办法，探索建立符合岛内外一体化发展特点的人才评价体系。创新台籍人才、特殊人才、优秀青年人才、基层人才等各类人才评价与激励体系，进一步完善多元化人才评价制度。</w:t>
      </w:r>
    </w:p>
    <w:p w:rsidR="00621FC3" w:rsidRDefault="00F76B79">
      <w:pPr>
        <w:pStyle w:val="3"/>
        <w:spacing w:line="620" w:lineRule="exact"/>
        <w:rPr>
          <w:rFonts w:ascii="楷体_GB2312" w:eastAsia="楷体_GB2312" w:hAnsi="楷体_GB2312" w:cs="楷体_GB2312"/>
          <w:color w:val="auto"/>
        </w:rPr>
      </w:pPr>
      <w:bookmarkStart w:id="117" w:name="_Toc57504004"/>
      <w:bookmarkStart w:id="118" w:name="_Toc59084075"/>
      <w:bookmarkStart w:id="119" w:name="_Toc58225019"/>
      <w:bookmarkStart w:id="120" w:name="_Toc60730660"/>
      <w:r>
        <w:rPr>
          <w:rFonts w:ascii="楷体_GB2312" w:eastAsia="楷体_GB2312" w:hAnsi="楷体_GB2312" w:cs="楷体_GB2312" w:hint="eastAsia"/>
          <w:color w:val="auto"/>
        </w:rPr>
        <w:t>（四）加强人才服务体系建设</w:t>
      </w:r>
      <w:bookmarkEnd w:id="117"/>
      <w:bookmarkEnd w:id="118"/>
      <w:bookmarkEnd w:id="119"/>
      <w:bookmarkEnd w:id="120"/>
    </w:p>
    <w:p w:rsidR="00621FC3" w:rsidRDefault="00F76B79">
      <w:pPr>
        <w:pStyle w:val="a1"/>
        <w:spacing w:line="620" w:lineRule="exact"/>
        <w:ind w:firstLine="640"/>
        <w:rPr>
          <w:color w:val="auto"/>
        </w:rPr>
      </w:pPr>
      <w:r>
        <w:rPr>
          <w:rFonts w:hint="eastAsia"/>
          <w:color w:val="auto"/>
        </w:rPr>
        <w:t>完善人才保障体系，提升人才服务保障水平。健全人才安居工程等保障体系，积极培育人才人力资源机构，借助市场力量拓展人才服务内涵。广泛开展人才政策宣讲和人才工作者培训，促进招商引资和招才引智融合。提高人才服务平台信息化建设水平，加强流动人员人事档案信息化建设，重点突出人才服务领域多元化、服务内容多样化、服务手段现代化。</w:t>
      </w:r>
    </w:p>
    <w:p w:rsidR="00621FC3" w:rsidRDefault="00F76B79">
      <w:pPr>
        <w:pStyle w:val="2"/>
        <w:spacing w:line="620" w:lineRule="exact"/>
        <w:ind w:firstLine="640"/>
        <w:rPr>
          <w:rFonts w:ascii="仿宋_GB2312" w:eastAsia="仿宋_GB2312" w:cs="仿宋_GB2312"/>
          <w:b w:val="0"/>
          <w:bCs w:val="0"/>
          <w:color w:val="auto"/>
          <w:kern w:val="0"/>
        </w:rPr>
      </w:pPr>
      <w:r>
        <w:rPr>
          <w:rFonts w:ascii="仿宋_GB2312" w:eastAsia="仿宋_GB2312" w:cs="仿宋_GB2312" w:hint="eastAsia"/>
          <w:b w:val="0"/>
          <w:bCs w:val="0"/>
          <w:color w:val="auto"/>
          <w:kern w:val="0"/>
        </w:rPr>
        <w:t>完善人才交流平台，深化区域性人才市场建设，推动人力资源服务与实体经济、科技创新、现代金融协同发展，培育发展人力资源产业园。加大引才基地城市建设，强化院校交流合作，以引才基地城市高校、省内高校和本市高校为重点，加强沟通协同，畅通吸纳高校毕业生渠道。</w:t>
      </w:r>
      <w:bookmarkStart w:id="121" w:name="_Toc60730661"/>
    </w:p>
    <w:p w:rsidR="00621FC3" w:rsidRDefault="00F76B79" w:rsidP="002C3AF5">
      <w:pPr>
        <w:pStyle w:val="2"/>
        <w:spacing w:line="620" w:lineRule="exact"/>
        <w:ind w:firstLine="640"/>
        <w:rPr>
          <w:b w:val="0"/>
          <w:bCs w:val="0"/>
          <w:color w:val="auto"/>
        </w:rPr>
      </w:pPr>
      <w:r>
        <w:rPr>
          <w:rFonts w:hint="eastAsia"/>
          <w:b w:val="0"/>
          <w:bCs w:val="0"/>
          <w:color w:val="auto"/>
        </w:rPr>
        <w:t>五、完善社会保障体系，</w:t>
      </w:r>
      <w:bookmarkEnd w:id="101"/>
      <w:r>
        <w:rPr>
          <w:rFonts w:hint="eastAsia"/>
          <w:b w:val="0"/>
          <w:bCs w:val="0"/>
          <w:color w:val="auto"/>
        </w:rPr>
        <w:t>提高全民保障水平</w:t>
      </w:r>
      <w:bookmarkEnd w:id="121"/>
    </w:p>
    <w:p w:rsidR="00621FC3" w:rsidRDefault="00F76B79">
      <w:pPr>
        <w:pStyle w:val="a1"/>
        <w:spacing w:line="620" w:lineRule="exact"/>
        <w:ind w:firstLine="640"/>
        <w:rPr>
          <w:color w:val="auto"/>
        </w:rPr>
      </w:pPr>
      <w:r>
        <w:rPr>
          <w:rFonts w:hint="eastAsia"/>
          <w:color w:val="auto"/>
        </w:rPr>
        <w:t>健全覆盖全民、统筹城乡、公平统一、可持续的多层次社会保障体系，构筑与本市经济社会协调发展的现代社会保</w:t>
      </w:r>
      <w:r>
        <w:rPr>
          <w:rFonts w:hint="eastAsia"/>
          <w:color w:val="auto"/>
        </w:rPr>
        <w:lastRenderedPageBreak/>
        <w:t>障制度，</w:t>
      </w:r>
      <w:bookmarkStart w:id="122" w:name="OLE_LINK463"/>
      <w:bookmarkStart w:id="123" w:name="OLE_LINK462"/>
      <w:r>
        <w:rPr>
          <w:rFonts w:hint="eastAsia"/>
          <w:color w:val="auto"/>
        </w:rPr>
        <w:t>保障全民共享，</w:t>
      </w:r>
      <w:bookmarkEnd w:id="122"/>
      <w:bookmarkEnd w:id="123"/>
      <w:r>
        <w:rPr>
          <w:rFonts w:hint="eastAsia"/>
          <w:color w:val="auto"/>
        </w:rPr>
        <w:t>优化社会保障服务工作，</w:t>
      </w:r>
      <w:bookmarkStart w:id="124" w:name="OLE_LINK468"/>
      <w:bookmarkStart w:id="125" w:name="OLE_LINK469"/>
      <w:r>
        <w:rPr>
          <w:rFonts w:hint="eastAsia"/>
          <w:color w:val="auto"/>
        </w:rPr>
        <w:t>推进民生福祉达到新水平</w:t>
      </w:r>
      <w:bookmarkEnd w:id="124"/>
      <w:bookmarkEnd w:id="125"/>
      <w:r>
        <w:rPr>
          <w:rFonts w:hint="eastAsia"/>
          <w:color w:val="auto"/>
        </w:rPr>
        <w:t>。</w:t>
      </w:r>
    </w:p>
    <w:p w:rsidR="00621FC3" w:rsidRDefault="00F76B79">
      <w:pPr>
        <w:pStyle w:val="3"/>
        <w:spacing w:line="620" w:lineRule="exact"/>
        <w:rPr>
          <w:rFonts w:ascii="楷体_GB2312" w:eastAsia="楷体_GB2312" w:hAnsi="楷体_GB2312" w:cs="楷体_GB2312"/>
          <w:color w:val="auto"/>
        </w:rPr>
      </w:pPr>
      <w:bookmarkStart w:id="126" w:name="_Toc57504006"/>
      <w:bookmarkStart w:id="127" w:name="OLE_LINK337"/>
      <w:bookmarkStart w:id="128" w:name="_Toc60730662"/>
      <w:bookmarkStart w:id="129" w:name="OLE_LINK336"/>
      <w:r>
        <w:rPr>
          <w:rFonts w:ascii="楷体_GB2312" w:eastAsia="楷体_GB2312" w:hAnsi="楷体_GB2312" w:cs="楷体_GB2312" w:hint="eastAsia"/>
          <w:color w:val="auto"/>
        </w:rPr>
        <w:t>（一）</w:t>
      </w:r>
      <w:bookmarkEnd w:id="126"/>
      <w:bookmarkEnd w:id="127"/>
      <w:bookmarkEnd w:id="128"/>
      <w:bookmarkEnd w:id="129"/>
      <w:r>
        <w:rPr>
          <w:rFonts w:ascii="楷体_GB2312" w:eastAsia="楷体_GB2312" w:hAnsi="楷体_GB2312" w:cs="楷体_GB2312" w:hint="eastAsia"/>
          <w:color w:val="auto"/>
        </w:rPr>
        <w:t>推进全民参保计划</w:t>
      </w:r>
    </w:p>
    <w:p w:rsidR="00621FC3" w:rsidRDefault="00F76B79">
      <w:pPr>
        <w:pStyle w:val="a1"/>
        <w:spacing w:line="620" w:lineRule="exact"/>
        <w:ind w:firstLine="640"/>
        <w:rPr>
          <w:color w:val="auto"/>
        </w:rPr>
      </w:pPr>
      <w:r>
        <w:rPr>
          <w:rFonts w:hint="eastAsia"/>
          <w:color w:val="auto"/>
        </w:rPr>
        <w:t>扎实推进社会保险参保扩面。全面贯彻落实《中华人民共和国社会保险法》，深入实施全民参保计划，健全部门信息动态共享机制，实施精准扩面，扩大基本养老保险覆盖面。</w:t>
      </w:r>
    </w:p>
    <w:p w:rsidR="00621FC3" w:rsidRDefault="00F76B79">
      <w:pPr>
        <w:pStyle w:val="a1"/>
        <w:spacing w:line="620" w:lineRule="exact"/>
        <w:ind w:firstLine="640"/>
        <w:rPr>
          <w:color w:val="auto"/>
        </w:rPr>
      </w:pPr>
      <w:bookmarkStart w:id="130" w:name="OLE_LINK473"/>
      <w:bookmarkStart w:id="131" w:name="OLE_LINK474"/>
      <w:r>
        <w:rPr>
          <w:rFonts w:hint="eastAsia"/>
          <w:color w:val="auto"/>
        </w:rPr>
        <w:t>做好重点人群扩面工作。以中小微企业、外来人口为重点加大参保政策宣传力度，优化联动机制，做好社保征缴稽核工作，持续推动参保率的提升。推动灵活就业人员、新业态就业人员参加城镇企业职工基本养老保险</w:t>
      </w:r>
      <w:bookmarkStart w:id="132" w:name="OLE_LINK478"/>
      <w:bookmarkStart w:id="133" w:name="OLE_LINK477"/>
      <w:bookmarkEnd w:id="130"/>
      <w:bookmarkEnd w:id="131"/>
      <w:r>
        <w:rPr>
          <w:rFonts w:hint="eastAsia"/>
          <w:color w:val="auto"/>
        </w:rPr>
        <w:t>。</w:t>
      </w:r>
    </w:p>
    <w:p w:rsidR="00621FC3" w:rsidRDefault="00F76B79">
      <w:pPr>
        <w:pStyle w:val="a1"/>
        <w:spacing w:line="620" w:lineRule="exact"/>
        <w:ind w:firstLine="640"/>
        <w:rPr>
          <w:color w:val="auto"/>
        </w:rPr>
      </w:pPr>
      <w:r>
        <w:rPr>
          <w:rFonts w:hint="eastAsia"/>
          <w:color w:val="auto"/>
        </w:rPr>
        <w:t>多措并举促进各类困难群体</w:t>
      </w:r>
      <w:bookmarkEnd w:id="132"/>
      <w:bookmarkEnd w:id="133"/>
      <w:r>
        <w:rPr>
          <w:rFonts w:hint="eastAsia"/>
          <w:color w:val="auto"/>
        </w:rPr>
        <w:t>参保。充分利用各种惠民政策措施，引导不同需求的参保群体参加适合的社会保险险种。</w:t>
      </w:r>
    </w:p>
    <w:p w:rsidR="00621FC3" w:rsidRDefault="00F76B79">
      <w:pPr>
        <w:pStyle w:val="a1"/>
        <w:spacing w:line="620" w:lineRule="exact"/>
        <w:ind w:firstLine="640"/>
        <w:rPr>
          <w:color w:val="auto"/>
        </w:rPr>
      </w:pPr>
      <w:r>
        <w:rPr>
          <w:rFonts w:hint="eastAsia"/>
          <w:bCs/>
          <w:color w:val="auto"/>
        </w:rPr>
        <w:t>为台湾同胞提供更加完善的社会保障服务，落实在厦生活的台湾居民在社会保障领域享受与本市居民同等待遇。</w:t>
      </w:r>
    </w:p>
    <w:p w:rsidR="00621FC3" w:rsidRDefault="00F76B79">
      <w:pPr>
        <w:pStyle w:val="3"/>
        <w:spacing w:line="620" w:lineRule="exact"/>
        <w:rPr>
          <w:rFonts w:ascii="楷体_GB2312" w:eastAsia="楷体_GB2312" w:hAnsi="楷体_GB2312" w:cs="楷体_GB2312"/>
          <w:color w:val="auto"/>
        </w:rPr>
      </w:pPr>
      <w:bookmarkStart w:id="134" w:name="_Toc57504007"/>
      <w:bookmarkStart w:id="135" w:name="_Toc60730663"/>
      <w:bookmarkStart w:id="136" w:name="OLE_LINK340"/>
      <w:bookmarkStart w:id="137" w:name="OLE_LINK341"/>
      <w:r>
        <w:rPr>
          <w:rFonts w:ascii="楷体_GB2312" w:eastAsia="楷体_GB2312" w:hAnsi="楷体_GB2312" w:cs="楷体_GB2312" w:hint="eastAsia"/>
          <w:color w:val="auto"/>
        </w:rPr>
        <w:t>（二）完善多层次养老保险</w:t>
      </w:r>
      <w:bookmarkEnd w:id="134"/>
      <w:bookmarkEnd w:id="135"/>
      <w:r>
        <w:rPr>
          <w:rFonts w:ascii="楷体_GB2312" w:eastAsia="楷体_GB2312" w:hAnsi="楷体_GB2312" w:cs="楷体_GB2312" w:hint="eastAsia"/>
          <w:color w:val="auto"/>
        </w:rPr>
        <w:t>制度</w:t>
      </w:r>
    </w:p>
    <w:p w:rsidR="00621FC3" w:rsidRDefault="00F76B79">
      <w:pPr>
        <w:pStyle w:val="a1"/>
        <w:spacing w:line="620" w:lineRule="exact"/>
        <w:ind w:firstLine="640"/>
        <w:rPr>
          <w:color w:val="auto"/>
        </w:rPr>
      </w:pPr>
      <w:r>
        <w:rPr>
          <w:rFonts w:hint="eastAsia"/>
          <w:color w:val="auto"/>
        </w:rPr>
        <w:t>适应多样化保障需求，构建以基本养老保险为基础、以企业（职业）年金为补充、与个人储蓄性养老保险和商业养老保险相衔接的“三支柱”养老保险体系。</w:t>
      </w:r>
    </w:p>
    <w:p w:rsidR="00621FC3" w:rsidRDefault="00F76B79">
      <w:pPr>
        <w:pStyle w:val="a1"/>
        <w:spacing w:line="620" w:lineRule="exact"/>
        <w:ind w:firstLine="640"/>
        <w:rPr>
          <w:color w:val="auto"/>
        </w:rPr>
      </w:pPr>
      <w:r>
        <w:rPr>
          <w:rFonts w:hint="eastAsia"/>
          <w:color w:val="auto"/>
        </w:rPr>
        <w:t>根据国家和省级部署，做好企业职工基本养老保险省级统筹和全国统筹相关工作。</w:t>
      </w:r>
    </w:p>
    <w:p w:rsidR="00621FC3" w:rsidRDefault="00F76B79">
      <w:pPr>
        <w:pStyle w:val="a1"/>
        <w:spacing w:line="620" w:lineRule="exact"/>
        <w:ind w:firstLine="640"/>
        <w:rPr>
          <w:color w:val="auto"/>
        </w:rPr>
      </w:pPr>
      <w:r>
        <w:rPr>
          <w:rFonts w:hint="eastAsia"/>
          <w:color w:val="auto"/>
        </w:rPr>
        <w:t>完善职工基本养老保险制度。落实基本养老保险筹资和待遇调整机制，稳步提高各类人员养老保险待遇。继续推动</w:t>
      </w:r>
      <w:r>
        <w:rPr>
          <w:rFonts w:hint="eastAsia"/>
          <w:color w:val="auto"/>
        </w:rPr>
        <w:lastRenderedPageBreak/>
        <w:t>机关事业单位养老保险制度改革，逐步完善配套政策。鼓励有条件的企业建立企业年金，提升企业职工的保障水平。</w:t>
      </w:r>
    </w:p>
    <w:p w:rsidR="00621FC3" w:rsidRDefault="00F76B79">
      <w:pPr>
        <w:pStyle w:val="3"/>
        <w:spacing w:line="620" w:lineRule="exact"/>
        <w:rPr>
          <w:rFonts w:ascii="楷体_GB2312" w:eastAsia="楷体_GB2312" w:hAnsi="楷体_GB2312" w:cs="楷体_GB2312"/>
          <w:color w:val="auto"/>
        </w:rPr>
      </w:pPr>
      <w:bookmarkStart w:id="138" w:name="_Toc60730664"/>
      <w:bookmarkStart w:id="139" w:name="_Toc57504008"/>
      <w:bookmarkStart w:id="140" w:name="OLE_LINK343"/>
      <w:bookmarkStart w:id="141" w:name="OLE_LINK342"/>
      <w:r>
        <w:rPr>
          <w:rFonts w:ascii="楷体_GB2312" w:eastAsia="楷体_GB2312" w:hAnsi="楷体_GB2312" w:cs="楷体_GB2312" w:hint="eastAsia"/>
          <w:color w:val="auto"/>
        </w:rPr>
        <w:t>（三）健全工伤保险体系</w:t>
      </w:r>
      <w:bookmarkEnd w:id="138"/>
      <w:bookmarkEnd w:id="139"/>
    </w:p>
    <w:p w:rsidR="00621FC3" w:rsidRDefault="00F76B79">
      <w:pPr>
        <w:pStyle w:val="a1"/>
        <w:spacing w:line="620" w:lineRule="exact"/>
        <w:ind w:firstLine="640"/>
        <w:rPr>
          <w:color w:val="auto"/>
        </w:rPr>
      </w:pPr>
      <w:r>
        <w:rPr>
          <w:rFonts w:hint="eastAsia"/>
          <w:color w:val="auto"/>
        </w:rPr>
        <w:t>推动构建预防、补偿、康复三位一体的工伤保险体系，稳步推进工伤保险省级统筹工作，完善工伤保险制度。</w:t>
      </w:r>
    </w:p>
    <w:p w:rsidR="00621FC3" w:rsidRDefault="00F76B79">
      <w:pPr>
        <w:pStyle w:val="a1"/>
        <w:spacing w:line="620" w:lineRule="exact"/>
        <w:ind w:firstLine="640"/>
        <w:rPr>
          <w:color w:val="auto"/>
        </w:rPr>
      </w:pPr>
      <w:r>
        <w:rPr>
          <w:rFonts w:hint="eastAsia"/>
          <w:color w:val="auto"/>
        </w:rPr>
        <w:t>健全工伤预防长效机制，完善部门间信息共享、联合检查机制，联合开展工伤事故与职业病预防及专项整治工作。创新工伤预防形式，鼓励并支持企业自主加强工伤预防。</w:t>
      </w:r>
    </w:p>
    <w:p w:rsidR="00621FC3" w:rsidRDefault="00F76B79">
      <w:pPr>
        <w:pStyle w:val="a1"/>
        <w:spacing w:line="620" w:lineRule="exact"/>
        <w:ind w:firstLine="640"/>
        <w:rPr>
          <w:color w:val="auto"/>
        </w:rPr>
      </w:pPr>
      <w:r>
        <w:rPr>
          <w:rFonts w:hint="eastAsia"/>
          <w:color w:val="auto"/>
        </w:rPr>
        <w:t>提高工伤认定工作效率。通过信息技术手段，实现工伤职工在工伤认定、救治、康复、劳动能力鉴定、工伤待遇发放等环节的无缝衔接。</w:t>
      </w:r>
      <w:bookmarkStart w:id="142" w:name="OLE_LINK48"/>
      <w:bookmarkStart w:id="143" w:name="OLE_LINK49"/>
      <w:r>
        <w:rPr>
          <w:rFonts w:hint="eastAsia"/>
          <w:color w:val="auto"/>
        </w:rPr>
        <w:t>切实优化工伤医疗、康复流程，实现工伤职工医疗、康复费用实时结算。</w:t>
      </w:r>
      <w:bookmarkEnd w:id="142"/>
      <w:bookmarkEnd w:id="143"/>
    </w:p>
    <w:p w:rsidR="00621FC3" w:rsidRDefault="00F76B79">
      <w:pPr>
        <w:pStyle w:val="3"/>
        <w:spacing w:line="620" w:lineRule="exact"/>
        <w:rPr>
          <w:b w:val="0"/>
          <w:color w:val="auto"/>
        </w:rPr>
      </w:pPr>
      <w:r>
        <w:rPr>
          <w:rFonts w:hint="eastAsia"/>
          <w:b w:val="0"/>
          <w:color w:val="auto"/>
        </w:rPr>
        <w:t>落实工伤定期待遇调整机制，适时合理调整工伤职工伤残津贴、生活护理费以及供养亲属抚恤金水平。落实工伤保险行业差别费率和浮动费率政策。落实部、省关于平台灵活就业人员职业伤害保障政策。</w:t>
      </w:r>
      <w:bookmarkStart w:id="144" w:name="_Toc57504009"/>
      <w:bookmarkStart w:id="145" w:name="_Toc60730665"/>
      <w:bookmarkStart w:id="146" w:name="OLE_LINK248"/>
      <w:bookmarkStart w:id="147" w:name="OLE_LINK247"/>
      <w:bookmarkStart w:id="148" w:name="OLE_LINK339"/>
      <w:bookmarkStart w:id="149" w:name="OLE_LINK338"/>
      <w:bookmarkEnd w:id="136"/>
      <w:bookmarkEnd w:id="137"/>
      <w:bookmarkEnd w:id="140"/>
      <w:bookmarkEnd w:id="141"/>
    </w:p>
    <w:p w:rsidR="00621FC3" w:rsidRDefault="00F76B79">
      <w:pPr>
        <w:pStyle w:val="3"/>
        <w:spacing w:line="620" w:lineRule="exact"/>
        <w:rPr>
          <w:rFonts w:ascii="楷体_GB2312" w:eastAsia="楷体_GB2312" w:hAnsi="楷体_GB2312" w:cs="楷体_GB2312"/>
          <w:color w:val="auto"/>
        </w:rPr>
      </w:pPr>
      <w:r>
        <w:rPr>
          <w:rFonts w:ascii="楷体_GB2312" w:eastAsia="楷体_GB2312" w:hAnsi="楷体_GB2312" w:cs="楷体_GB2312" w:hint="eastAsia"/>
          <w:color w:val="auto"/>
        </w:rPr>
        <w:t>（四）完善失业保险保障功能</w:t>
      </w:r>
      <w:bookmarkEnd w:id="144"/>
      <w:bookmarkEnd w:id="145"/>
    </w:p>
    <w:bookmarkEnd w:id="146"/>
    <w:bookmarkEnd w:id="147"/>
    <w:p w:rsidR="00621FC3" w:rsidRDefault="00F76B79">
      <w:pPr>
        <w:pStyle w:val="a1"/>
        <w:spacing w:line="620" w:lineRule="exact"/>
        <w:ind w:firstLine="640"/>
        <w:rPr>
          <w:color w:val="auto"/>
        </w:rPr>
      </w:pPr>
      <w:r>
        <w:rPr>
          <w:rFonts w:hint="eastAsia"/>
          <w:color w:val="auto"/>
        </w:rPr>
        <w:t>完善失业保险制度。充分发挥失业保险在“保生活、促就业、防失业”方面的功能，完善失业保险与促进就业联动机制。贯彻落实失业保险支持参保企业稳岗、参保职工提升技能提升政策，强化预防失业以及促进失业人员再就业功能。积极稳妥实现失业保险政策向省级统筹过渡。落实失业保险</w:t>
      </w:r>
      <w:r>
        <w:rPr>
          <w:rFonts w:hint="eastAsia"/>
          <w:color w:val="auto"/>
        </w:rPr>
        <w:lastRenderedPageBreak/>
        <w:t>金水平与物价水平挂钩机制。</w:t>
      </w:r>
    </w:p>
    <w:p w:rsidR="00621FC3" w:rsidRDefault="00F76B79">
      <w:pPr>
        <w:pStyle w:val="a1"/>
        <w:spacing w:line="620" w:lineRule="exact"/>
        <w:ind w:firstLine="640"/>
        <w:rPr>
          <w:color w:val="auto"/>
        </w:rPr>
      </w:pPr>
      <w:r>
        <w:rPr>
          <w:rFonts w:hint="eastAsia"/>
          <w:color w:val="auto"/>
        </w:rPr>
        <w:t>优化失业保险待遇申领业务办理流程，加大对大龄失业群体的失业保障力度，提升经办服务能力，充分发挥失业保险社会稳定器作用。</w:t>
      </w:r>
      <w:bookmarkStart w:id="150" w:name="OLE_LINK74"/>
      <w:bookmarkStart w:id="151" w:name="OLE_LINK73"/>
      <w:bookmarkStart w:id="152" w:name="OLE_LINK76"/>
      <w:bookmarkStart w:id="153" w:name="OLE_LINK489"/>
      <w:bookmarkStart w:id="154" w:name="OLE_LINK490"/>
    </w:p>
    <w:p w:rsidR="00621FC3" w:rsidRDefault="00F76B79">
      <w:pPr>
        <w:pStyle w:val="3"/>
        <w:spacing w:line="620" w:lineRule="exact"/>
        <w:rPr>
          <w:rFonts w:ascii="楷体_GB2312" w:eastAsia="楷体_GB2312" w:hAnsi="楷体_GB2312" w:cs="楷体_GB2312"/>
          <w:color w:val="auto"/>
        </w:rPr>
      </w:pPr>
      <w:r>
        <w:rPr>
          <w:rFonts w:ascii="楷体_GB2312" w:eastAsia="楷体_GB2312" w:hAnsi="楷体_GB2312" w:cs="楷体_GB2312" w:hint="eastAsia"/>
          <w:color w:val="auto"/>
        </w:rPr>
        <w:t>（五）推动社保经办工作高质量发展</w:t>
      </w:r>
    </w:p>
    <w:p w:rsidR="00621FC3" w:rsidRDefault="00F76B79">
      <w:pPr>
        <w:spacing w:line="620" w:lineRule="exact"/>
        <w:ind w:firstLineChars="200" w:firstLine="640"/>
      </w:pPr>
      <w:r>
        <w:rPr>
          <w:rFonts w:ascii="仿宋_GB2312" w:eastAsia="仿宋_GB2312" w:cs="仿宋_GB2312" w:hint="eastAsia"/>
          <w:kern w:val="0"/>
          <w:sz w:val="32"/>
          <w:szCs w:val="32"/>
        </w:rPr>
        <w:t>加强社会保障精细化管理，深化“放管服”改革，积极推动“不见面”办理，最大限度方便参保人员办理社保事项。整合社保经办力量，优化社保经办流程。重点推进社保事项逐步实现“全程网办”，按时间节点推进社保事项“省内通办”“跨省通办”，打造高质量的社保经办服务。</w:t>
      </w:r>
    </w:p>
    <w:p w:rsidR="00621FC3" w:rsidRDefault="00F76B79">
      <w:pPr>
        <w:pStyle w:val="3"/>
        <w:spacing w:line="620" w:lineRule="exact"/>
        <w:rPr>
          <w:rFonts w:ascii="楷体_GB2312" w:eastAsia="楷体_GB2312" w:hAnsi="楷体_GB2312" w:cs="楷体_GB2312"/>
          <w:color w:val="auto"/>
        </w:rPr>
      </w:pPr>
      <w:bookmarkStart w:id="155" w:name="_Toc60730666"/>
      <w:bookmarkEnd w:id="150"/>
      <w:bookmarkEnd w:id="151"/>
      <w:bookmarkEnd w:id="152"/>
      <w:r>
        <w:rPr>
          <w:rFonts w:ascii="楷体_GB2312" w:eastAsia="楷体_GB2312" w:hAnsi="楷体_GB2312" w:cs="楷体_GB2312" w:hint="eastAsia"/>
          <w:color w:val="auto"/>
        </w:rPr>
        <w:t>（六）增强退休人员社会化管理服务工作质效</w:t>
      </w:r>
      <w:bookmarkEnd w:id="155"/>
    </w:p>
    <w:p w:rsidR="00621FC3" w:rsidRDefault="00F76B79">
      <w:pPr>
        <w:pStyle w:val="a1"/>
        <w:spacing w:line="620" w:lineRule="exact"/>
        <w:ind w:firstLine="640"/>
        <w:rPr>
          <w:color w:val="auto"/>
        </w:rPr>
      </w:pPr>
      <w:r>
        <w:rPr>
          <w:rFonts w:hint="eastAsia"/>
          <w:color w:val="auto"/>
        </w:rPr>
        <w:t>持续推进服务对象全覆盖。积极推进退休人员社会化管理服务工作，推进省、部属国有企业退休人员移交属地社会化管理，探索机关事业单位退休人员纳入社会化管理服务，推进退休人员社会化管理服务全覆盖。</w:t>
      </w:r>
    </w:p>
    <w:p w:rsidR="00621FC3" w:rsidRDefault="00F76B79">
      <w:pPr>
        <w:pStyle w:val="a1"/>
        <w:spacing w:line="620" w:lineRule="exact"/>
        <w:ind w:firstLine="640"/>
        <w:rPr>
          <w:color w:val="auto"/>
        </w:rPr>
      </w:pPr>
      <w:r>
        <w:rPr>
          <w:rFonts w:hint="eastAsia"/>
          <w:color w:val="auto"/>
        </w:rPr>
        <w:t>推进退休人员社会化管理服务管理信息化建设。统筹推进档案数字化工作，完成历年存量档案数字化工作。拓展档案数字化应用场景，实现档案查阅利用“马上办、就近办、全市通办”。构建以大数据信息共享比对和远程自助认证为主、现场核实为辅，社会化服务兜底的工作机制，综合应用手机微信认证、i厦门APP认证、闽政通APP认证、社保自助机认证、厦门e政务认证、手持机APP认证、经办柜台认</w:t>
      </w:r>
      <w:r>
        <w:rPr>
          <w:rFonts w:hint="eastAsia"/>
          <w:color w:val="auto"/>
        </w:rPr>
        <w:lastRenderedPageBreak/>
        <w:t>证、邮寄认证、承诺认证以及其他第三方认证等多种方式，力争实现退休人员“零打扰”资格认证模式。</w:t>
      </w:r>
    </w:p>
    <w:p w:rsidR="00621FC3" w:rsidRDefault="00F76B79">
      <w:pPr>
        <w:pStyle w:val="a1"/>
        <w:spacing w:line="620" w:lineRule="exact"/>
        <w:ind w:firstLine="640"/>
        <w:rPr>
          <w:color w:val="auto"/>
        </w:rPr>
      </w:pPr>
      <w:r>
        <w:rPr>
          <w:rFonts w:hint="eastAsia"/>
          <w:color w:val="auto"/>
        </w:rPr>
        <w:t>打造全方位服务体系。扎实开展慰问送温暖活动，每年春节、重阳节对每名退休人员发放节日慰问金，同时对部分困难退休人员进行重点慰问，对住院退休人员和亡故退休人员家属进行日常慰问，关心关爱退休人员。积极推动退休人员文体健康活动常态化，举办适合退休人员参与的文化体育健康活动，丰富退休人员精神文化生活。</w:t>
      </w:r>
    </w:p>
    <w:p w:rsidR="00621FC3" w:rsidRDefault="00F76B79">
      <w:pPr>
        <w:pStyle w:val="3"/>
        <w:spacing w:line="620" w:lineRule="exact"/>
        <w:rPr>
          <w:rFonts w:ascii="楷体_GB2312" w:eastAsia="楷体_GB2312" w:hAnsi="楷体_GB2312" w:cs="楷体_GB2312"/>
          <w:color w:val="auto"/>
        </w:rPr>
      </w:pPr>
      <w:bookmarkStart w:id="156" w:name="_Toc57504010"/>
      <w:bookmarkStart w:id="157" w:name="_Toc60730667"/>
      <w:bookmarkEnd w:id="148"/>
      <w:bookmarkEnd w:id="149"/>
      <w:bookmarkEnd w:id="153"/>
      <w:bookmarkEnd w:id="154"/>
      <w:r>
        <w:rPr>
          <w:rFonts w:ascii="楷体_GB2312" w:eastAsia="楷体_GB2312" w:hAnsi="楷体_GB2312" w:cs="楷体_GB2312" w:hint="eastAsia"/>
          <w:color w:val="auto"/>
        </w:rPr>
        <w:t>（七）加强社会保险基金风险防控</w:t>
      </w:r>
      <w:bookmarkEnd w:id="156"/>
      <w:bookmarkEnd w:id="157"/>
    </w:p>
    <w:p w:rsidR="00621FC3" w:rsidRDefault="00F76B79">
      <w:pPr>
        <w:adjustRightInd w:val="0"/>
        <w:snapToGrid w:val="0"/>
        <w:spacing w:line="62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提升市社会保险监督委员会工作效能，充分发挥部门合作平台监督作用。强化社会监督，畅通健全社会保险基金违法违规举报渠道。加大社会保险基金稽核力度，建立健全系统内部侵害社会保险基金行为的协同查处制度，推动建立行政执法和刑事司法衔接机制，追缴多领冒领社会保险待遇，坚决查处和纠正违法违规行为，保持打击欺诈骗保高压态势。</w:t>
      </w:r>
    </w:p>
    <w:p w:rsidR="00621FC3" w:rsidRDefault="00F76B79">
      <w:pPr>
        <w:pStyle w:val="a1"/>
        <w:spacing w:line="620" w:lineRule="exact"/>
        <w:ind w:firstLine="640"/>
        <w:rPr>
          <w:color w:val="auto"/>
        </w:rPr>
      </w:pPr>
      <w:r>
        <w:rPr>
          <w:rFonts w:hint="eastAsia"/>
          <w:color w:val="auto"/>
        </w:rPr>
        <w:t>落实社会保险基金安全主体责任，</w:t>
      </w:r>
      <w:r>
        <w:rPr>
          <w:color w:val="auto"/>
        </w:rPr>
        <w:t>联动推进行政监督和经办内控工作，</w:t>
      </w:r>
      <w:r>
        <w:rPr>
          <w:rFonts w:hint="eastAsia"/>
          <w:color w:val="auto"/>
        </w:rPr>
        <w:t>落实对社会保险政策、经办、信息全方位监督，及时防范和化解社会保险业务经办风险。强化社会保险基金潜在风险识别预警</w:t>
      </w:r>
      <w:r>
        <w:rPr>
          <w:color w:val="auto"/>
        </w:rPr>
        <w:t>，</w:t>
      </w:r>
      <w:r>
        <w:rPr>
          <w:rFonts w:hint="eastAsia"/>
          <w:color w:val="auto"/>
        </w:rPr>
        <w:t>建立健全社会保险基金风险监督预警体系。</w:t>
      </w:r>
      <w:bookmarkStart w:id="158" w:name="OLE_LINK27"/>
      <w:r>
        <w:rPr>
          <w:rFonts w:hAnsi="黑体" w:hint="eastAsia"/>
          <w:color w:val="auto"/>
        </w:rPr>
        <w:t>实现人社部门与其他政府部门数据互通共享，提升社保信息化监管水平</w:t>
      </w:r>
      <w:r>
        <w:rPr>
          <w:rFonts w:hint="eastAsia"/>
          <w:color w:val="auto"/>
        </w:rPr>
        <w:t>。</w:t>
      </w:r>
      <w:bookmarkEnd w:id="158"/>
      <w:r>
        <w:rPr>
          <w:rFonts w:hint="eastAsia"/>
          <w:color w:val="auto"/>
        </w:rPr>
        <w:t>配合财政部门推进划转部分国有资本充实社保基金工作，促进我市社保基金保值增值。</w:t>
      </w:r>
    </w:p>
    <w:p w:rsidR="00621FC3" w:rsidRDefault="00F76B79" w:rsidP="002C3AF5">
      <w:pPr>
        <w:pStyle w:val="2"/>
        <w:spacing w:line="620" w:lineRule="exact"/>
        <w:ind w:firstLine="640"/>
        <w:rPr>
          <w:b w:val="0"/>
          <w:bCs w:val="0"/>
          <w:color w:val="auto"/>
        </w:rPr>
      </w:pPr>
      <w:bookmarkStart w:id="159" w:name="_Toc57504011"/>
      <w:bookmarkStart w:id="160" w:name="_Toc60730668"/>
      <w:r>
        <w:rPr>
          <w:rFonts w:hint="eastAsia"/>
          <w:b w:val="0"/>
          <w:bCs w:val="0"/>
          <w:color w:val="auto"/>
        </w:rPr>
        <w:lastRenderedPageBreak/>
        <w:t>六、构建稳定增收机制</w:t>
      </w:r>
      <w:bookmarkEnd w:id="159"/>
      <w:r>
        <w:rPr>
          <w:b w:val="0"/>
          <w:bCs w:val="0"/>
          <w:color w:val="auto"/>
        </w:rPr>
        <w:t>,</w:t>
      </w:r>
      <w:r>
        <w:rPr>
          <w:rFonts w:hint="eastAsia"/>
          <w:b w:val="0"/>
          <w:bCs w:val="0"/>
          <w:color w:val="auto"/>
        </w:rPr>
        <w:t>提升民生福祉水平</w:t>
      </w:r>
      <w:bookmarkEnd w:id="160"/>
    </w:p>
    <w:p w:rsidR="00621FC3" w:rsidRDefault="00F76B79">
      <w:pPr>
        <w:pStyle w:val="a1"/>
        <w:spacing w:line="620" w:lineRule="exact"/>
        <w:ind w:firstLine="640"/>
        <w:rPr>
          <w:color w:val="auto"/>
        </w:rPr>
      </w:pPr>
      <w:r>
        <w:rPr>
          <w:rFonts w:hint="eastAsia"/>
          <w:color w:val="auto"/>
        </w:rPr>
        <w:t>构建工资稳定增长机制，规范收入分配秩序，缩小收入分配差距，实现居民收入增加。深化工资收入分配制度改革，努力实现劳动报酬增长与劳动生产率同步增长，提高工资在初次分配中比重。健全按要素分配机制，增加一线劳动者工资收入。</w:t>
      </w:r>
    </w:p>
    <w:p w:rsidR="00621FC3" w:rsidRDefault="00F76B79">
      <w:pPr>
        <w:pStyle w:val="3"/>
        <w:spacing w:line="620" w:lineRule="exact"/>
        <w:rPr>
          <w:rFonts w:ascii="楷体_GB2312" w:eastAsia="楷体_GB2312" w:hAnsi="楷体_GB2312" w:cs="楷体_GB2312"/>
          <w:color w:val="auto"/>
        </w:rPr>
      </w:pPr>
      <w:bookmarkStart w:id="161" w:name="_Toc57504012"/>
      <w:bookmarkStart w:id="162" w:name="_Toc60730669"/>
      <w:r>
        <w:rPr>
          <w:rFonts w:ascii="楷体_GB2312" w:eastAsia="楷体_GB2312" w:hAnsi="楷体_GB2312" w:cs="楷体_GB2312" w:hint="eastAsia"/>
          <w:color w:val="auto"/>
        </w:rPr>
        <w:t>（一）建立居民收入稳定增长机制</w:t>
      </w:r>
      <w:bookmarkEnd w:id="161"/>
      <w:bookmarkEnd w:id="162"/>
    </w:p>
    <w:p w:rsidR="00621FC3" w:rsidRDefault="00F76B79">
      <w:pPr>
        <w:pStyle w:val="a1"/>
        <w:spacing w:line="620" w:lineRule="exact"/>
        <w:ind w:firstLine="640"/>
        <w:rPr>
          <w:color w:val="auto"/>
        </w:rPr>
      </w:pPr>
      <w:r>
        <w:rPr>
          <w:color w:val="auto"/>
        </w:rPr>
        <w:t>深入实施居民增收行动，深化工资收入分配制度改革。健全工资合理增长机制，</w:t>
      </w:r>
      <w:r>
        <w:rPr>
          <w:rFonts w:hint="eastAsia"/>
          <w:color w:val="auto"/>
        </w:rPr>
        <w:t>着力提升民生水平，不断拓宽城镇居民工资性、经营性、财产性、转移性、激励性等五种收入来源，研究持续提高居民收入在国民收入分配中的比重、劳动报酬在初次分配中的比重,保障民生支出在财政支出中的比重、中等收入群体在全社会人口中的比重，巩固发展格局，构建稳定增长机制，实现居民收入增长与经济增长基本同步，居民收入水平得到全面提高。</w:t>
      </w:r>
    </w:p>
    <w:p w:rsidR="00621FC3" w:rsidRDefault="00F76B79">
      <w:pPr>
        <w:pStyle w:val="3"/>
        <w:spacing w:line="620" w:lineRule="exact"/>
        <w:rPr>
          <w:rFonts w:ascii="楷体_GB2312" w:eastAsia="楷体_GB2312" w:hAnsi="楷体_GB2312" w:cs="楷体_GB2312"/>
          <w:color w:val="auto"/>
        </w:rPr>
      </w:pPr>
      <w:bookmarkStart w:id="163" w:name="_Toc57504013"/>
      <w:bookmarkStart w:id="164" w:name="_Toc60730670"/>
      <w:r>
        <w:rPr>
          <w:rFonts w:ascii="楷体_GB2312" w:eastAsia="楷体_GB2312" w:hAnsi="楷体_GB2312" w:cs="楷体_GB2312" w:hint="eastAsia"/>
          <w:color w:val="auto"/>
        </w:rPr>
        <w:t>（二）加强企业工资宏观调控</w:t>
      </w:r>
      <w:bookmarkEnd w:id="163"/>
      <w:bookmarkEnd w:id="164"/>
    </w:p>
    <w:p w:rsidR="00621FC3" w:rsidRDefault="00F76B79">
      <w:pPr>
        <w:pStyle w:val="a1"/>
        <w:spacing w:line="620" w:lineRule="exact"/>
        <w:ind w:firstLine="640"/>
        <w:rPr>
          <w:color w:val="auto"/>
        </w:rPr>
      </w:pPr>
      <w:r>
        <w:rPr>
          <w:rFonts w:hint="eastAsia"/>
          <w:color w:val="auto"/>
        </w:rPr>
        <w:t>深化国有企业收入分配改革。持续推进国有企业工资决定机制改革和国有企业负责人薪酬制度改革，健全激励约束机制和市场化薪酬分配机制，将国有企业工资总额与经济效益挂钩、负责人薪酬与经营业绩挂钩，合理调节不同行业、不同企业职工及负责人之间的收入分配，规范国有企业工资收入分配秩序。</w:t>
      </w:r>
    </w:p>
    <w:p w:rsidR="00621FC3" w:rsidRDefault="00F76B79">
      <w:pPr>
        <w:pStyle w:val="a1"/>
        <w:spacing w:line="620" w:lineRule="exact"/>
        <w:ind w:firstLine="640"/>
        <w:rPr>
          <w:color w:val="auto"/>
        </w:rPr>
      </w:pPr>
      <w:r>
        <w:rPr>
          <w:rFonts w:hint="eastAsia"/>
          <w:color w:val="auto"/>
        </w:rPr>
        <w:lastRenderedPageBreak/>
        <w:t>积极推进工资决定和正常增长机制建设。以非公有制企业为重点，完善工资集体协商制度。加大对技能要素参与分配的激励力度。</w:t>
      </w:r>
    </w:p>
    <w:p w:rsidR="00621FC3" w:rsidRDefault="00F76B79">
      <w:pPr>
        <w:pStyle w:val="a1"/>
        <w:spacing w:line="620" w:lineRule="exact"/>
        <w:ind w:firstLine="640"/>
        <w:rPr>
          <w:color w:val="auto"/>
        </w:rPr>
      </w:pPr>
      <w:r>
        <w:rPr>
          <w:rFonts w:hint="eastAsia"/>
          <w:color w:val="auto"/>
        </w:rPr>
        <w:t>完善企业薪酬调查和信息发布制度，强化工资指导线应用，引导企业合理确定工资水平。</w:t>
      </w:r>
    </w:p>
    <w:p w:rsidR="00621FC3" w:rsidRDefault="00F76B79">
      <w:pPr>
        <w:pStyle w:val="3"/>
        <w:spacing w:line="620" w:lineRule="exact"/>
        <w:rPr>
          <w:rFonts w:ascii="楷体_GB2312" w:eastAsia="楷体_GB2312" w:hAnsi="楷体_GB2312" w:cs="楷体_GB2312"/>
          <w:color w:val="auto"/>
        </w:rPr>
      </w:pPr>
      <w:bookmarkStart w:id="165" w:name="_Toc60730671"/>
      <w:bookmarkStart w:id="166" w:name="_Toc57504014"/>
      <w:r>
        <w:rPr>
          <w:rFonts w:ascii="楷体_GB2312" w:eastAsia="楷体_GB2312" w:hAnsi="楷体_GB2312" w:cs="楷体_GB2312" w:hint="eastAsia"/>
          <w:color w:val="auto"/>
        </w:rPr>
        <w:t>（三）健全事业单位收入分配机制</w:t>
      </w:r>
      <w:bookmarkEnd w:id="165"/>
      <w:bookmarkEnd w:id="166"/>
    </w:p>
    <w:p w:rsidR="00621FC3" w:rsidRDefault="00F76B79">
      <w:pPr>
        <w:pStyle w:val="a1"/>
        <w:spacing w:line="620" w:lineRule="exact"/>
        <w:ind w:firstLine="640"/>
        <w:rPr>
          <w:color w:val="auto"/>
        </w:rPr>
      </w:pPr>
      <w:r>
        <w:rPr>
          <w:rFonts w:hint="eastAsia"/>
          <w:color w:val="auto"/>
        </w:rPr>
        <w:t>完善绩效工资管理机制。扩大事业单位绩效工资分配自主权，</w:t>
      </w:r>
      <w:bookmarkStart w:id="167" w:name="OLE_LINK499"/>
      <w:r>
        <w:rPr>
          <w:rFonts w:hint="eastAsia"/>
          <w:color w:val="auto"/>
        </w:rPr>
        <w:t>鼓励、引导有营业收入的事业单位建立绩效工资与业务净收入适当挂钩机制</w:t>
      </w:r>
      <w:bookmarkEnd w:id="167"/>
      <w:r>
        <w:rPr>
          <w:rFonts w:hint="eastAsia"/>
          <w:color w:val="auto"/>
        </w:rPr>
        <w:t>。</w:t>
      </w:r>
    </w:p>
    <w:p w:rsidR="00621FC3" w:rsidRDefault="00F76B79">
      <w:pPr>
        <w:pStyle w:val="a1"/>
        <w:spacing w:line="620" w:lineRule="exact"/>
        <w:ind w:firstLine="640"/>
        <w:rPr>
          <w:color w:val="auto"/>
        </w:rPr>
      </w:pPr>
      <w:r>
        <w:rPr>
          <w:rFonts w:hint="eastAsia"/>
          <w:color w:val="auto"/>
        </w:rPr>
        <w:t>加快推动体现增加知识价值的收入分配机制。以事业单位自身特点为基础，突出知识价值分配导向，在核定的绩效工资总量内，优化绩效工资结构。鼓励对高层次人才实行年薪制、协议工资制、项目工资等灵活多样的分配形式。允许科研人员按规定兼职兼薪、在职创办企业或离岗创新创业。</w:t>
      </w:r>
    </w:p>
    <w:p w:rsidR="00621FC3" w:rsidRDefault="00F76B79">
      <w:pPr>
        <w:pStyle w:val="a1"/>
        <w:spacing w:line="620" w:lineRule="exact"/>
        <w:ind w:firstLine="640"/>
        <w:rPr>
          <w:color w:val="auto"/>
        </w:rPr>
      </w:pPr>
      <w:r>
        <w:rPr>
          <w:rFonts w:hint="eastAsia"/>
          <w:color w:val="auto"/>
        </w:rPr>
        <w:t>完善优绩优酬的激励机制。充分发挥市场机制作用，将人才收入与岗位职责、工作业绩、实际贡献紧密挂钩，鼓励科研人员通过科技成果转化获得合理收入，加快形成知识创造价值、价值创造者得到合理回报的良性循环。</w:t>
      </w:r>
    </w:p>
    <w:p w:rsidR="00621FC3" w:rsidRDefault="00F76B79" w:rsidP="002C3AF5">
      <w:pPr>
        <w:pStyle w:val="2"/>
        <w:spacing w:line="620" w:lineRule="exact"/>
        <w:ind w:firstLine="640"/>
        <w:rPr>
          <w:b w:val="0"/>
          <w:bCs w:val="0"/>
          <w:color w:val="auto"/>
        </w:rPr>
      </w:pPr>
      <w:bookmarkStart w:id="168" w:name="_Toc57504015"/>
      <w:bookmarkStart w:id="169" w:name="_Toc60730672"/>
      <w:r>
        <w:rPr>
          <w:rFonts w:hint="eastAsia"/>
          <w:b w:val="0"/>
          <w:bCs w:val="0"/>
          <w:color w:val="auto"/>
        </w:rPr>
        <w:t>七、打造和谐劳动关系典范城市，</w:t>
      </w:r>
      <w:bookmarkEnd w:id="168"/>
      <w:r>
        <w:rPr>
          <w:rFonts w:hint="eastAsia"/>
          <w:b w:val="0"/>
          <w:bCs w:val="0"/>
          <w:color w:val="auto"/>
        </w:rPr>
        <w:t>营造良好用工环境</w:t>
      </w:r>
      <w:bookmarkEnd w:id="169"/>
    </w:p>
    <w:p w:rsidR="00621FC3" w:rsidRDefault="00F76B79">
      <w:pPr>
        <w:pStyle w:val="a1"/>
        <w:spacing w:line="620" w:lineRule="exact"/>
        <w:ind w:firstLine="640"/>
        <w:rPr>
          <w:color w:val="auto"/>
        </w:rPr>
      </w:pPr>
      <w:r>
        <w:rPr>
          <w:rFonts w:hint="eastAsia"/>
          <w:color w:val="auto"/>
        </w:rPr>
        <w:t>以维护劳动者合法权益为基点，优化劳动关系协商协调机制，提升劳动人事争议处理效能，加大劳动保障监察执法力度，构建和谐劳动关系典范城市。</w:t>
      </w:r>
    </w:p>
    <w:p w:rsidR="00621FC3" w:rsidRDefault="00F76B79">
      <w:pPr>
        <w:pStyle w:val="3"/>
        <w:spacing w:line="620" w:lineRule="exact"/>
        <w:rPr>
          <w:rFonts w:ascii="楷体_GB2312" w:eastAsia="楷体_GB2312" w:hAnsi="楷体_GB2312" w:cs="楷体_GB2312"/>
          <w:color w:val="auto"/>
        </w:rPr>
      </w:pPr>
      <w:bookmarkStart w:id="170" w:name="_Toc60730673"/>
      <w:bookmarkStart w:id="171" w:name="_Toc57504016"/>
      <w:r>
        <w:rPr>
          <w:rFonts w:ascii="楷体_GB2312" w:eastAsia="楷体_GB2312" w:hAnsi="楷体_GB2312" w:cs="楷体_GB2312" w:hint="eastAsia"/>
          <w:color w:val="auto"/>
        </w:rPr>
        <w:lastRenderedPageBreak/>
        <w:t>（一）全面提升劳动关系治理水平</w:t>
      </w:r>
      <w:bookmarkEnd w:id="170"/>
      <w:bookmarkEnd w:id="171"/>
    </w:p>
    <w:p w:rsidR="00621FC3" w:rsidRDefault="00F76B79">
      <w:pPr>
        <w:pStyle w:val="a1"/>
        <w:spacing w:line="620" w:lineRule="exact"/>
        <w:ind w:firstLine="640"/>
        <w:rPr>
          <w:color w:val="auto"/>
        </w:rPr>
      </w:pPr>
      <w:r>
        <w:rPr>
          <w:rFonts w:hint="eastAsia"/>
          <w:color w:val="auto"/>
        </w:rPr>
        <w:t>健全劳动合同制度，加强对企业实行劳动合同制度的监督、指导和服务。规范劳务派遣用工行为，加强劳务派遣事中事后监管。</w:t>
      </w:r>
    </w:p>
    <w:p w:rsidR="00621FC3" w:rsidRDefault="00F76B79">
      <w:pPr>
        <w:pStyle w:val="a1"/>
        <w:spacing w:line="620" w:lineRule="exact"/>
        <w:ind w:firstLine="640"/>
        <w:rPr>
          <w:color w:val="auto"/>
        </w:rPr>
      </w:pPr>
      <w:r>
        <w:rPr>
          <w:rFonts w:hint="eastAsia"/>
          <w:color w:val="auto"/>
        </w:rPr>
        <w:t>完善和创新人社、工会、企联三方参与的劳动关系协商协调机制，开展劳动关系“和谐同行”能力提升行动，探索创建具有厦门特色的和谐劳动关系模式。</w:t>
      </w:r>
    </w:p>
    <w:p w:rsidR="00621FC3" w:rsidRDefault="00F76B79">
      <w:pPr>
        <w:pStyle w:val="a1"/>
        <w:spacing w:line="620" w:lineRule="exact"/>
        <w:ind w:firstLine="640"/>
        <w:rPr>
          <w:color w:val="auto"/>
        </w:rPr>
      </w:pPr>
      <w:r>
        <w:rPr>
          <w:rFonts w:hint="eastAsia"/>
          <w:color w:val="auto"/>
        </w:rPr>
        <w:t>探索规范新就业形态用工形式，加强新就业形态用工服务新平台建设，健全劳动者权益保障机制，推进新就业形态劳动关系的法制化建设。稳妥推进集体协商集体合同制度，提高集体协商实效性。</w:t>
      </w:r>
    </w:p>
    <w:p w:rsidR="00621FC3" w:rsidRDefault="00F76B79">
      <w:pPr>
        <w:pStyle w:val="3"/>
        <w:spacing w:line="620" w:lineRule="exact"/>
        <w:rPr>
          <w:rFonts w:ascii="楷体_GB2312" w:eastAsia="楷体_GB2312" w:hAnsi="楷体_GB2312" w:cs="楷体_GB2312"/>
          <w:color w:val="auto"/>
        </w:rPr>
      </w:pPr>
      <w:bookmarkStart w:id="172" w:name="_Toc57504018"/>
      <w:bookmarkStart w:id="173" w:name="_Toc60730674"/>
      <w:r>
        <w:rPr>
          <w:rFonts w:ascii="楷体_GB2312" w:eastAsia="楷体_GB2312" w:hAnsi="楷体_GB2312" w:cs="楷体_GB2312" w:hint="eastAsia"/>
          <w:color w:val="auto"/>
        </w:rPr>
        <w:t>（二）完善劳动保障监察执法体系</w:t>
      </w:r>
      <w:bookmarkEnd w:id="172"/>
      <w:bookmarkEnd w:id="173"/>
    </w:p>
    <w:p w:rsidR="00621FC3" w:rsidRDefault="00F76B79">
      <w:pPr>
        <w:pStyle w:val="a1"/>
        <w:spacing w:line="620" w:lineRule="exact"/>
        <w:ind w:firstLine="640"/>
        <w:rPr>
          <w:color w:val="auto"/>
        </w:rPr>
      </w:pPr>
      <w:r>
        <w:rPr>
          <w:rFonts w:hint="eastAsia"/>
          <w:color w:val="auto"/>
        </w:rPr>
        <w:t>加强预警监管。深化劳动保障监察“两网化”管理，强化劳资纠纷隐患日常排查力度，利用大数据加强劳资纠纷三级预警分析研判工作。优化分类监管制度建设，对于违法行为、争议纠纷高发的重点行业和重点企业实施重点监管，及时排除影响和谐劳动关系的隐患。</w:t>
      </w:r>
    </w:p>
    <w:p w:rsidR="00621FC3" w:rsidRDefault="00F76B79">
      <w:pPr>
        <w:pStyle w:val="a1"/>
        <w:spacing w:line="620" w:lineRule="exact"/>
        <w:ind w:firstLine="640"/>
        <w:rPr>
          <w:color w:val="auto"/>
        </w:rPr>
      </w:pPr>
      <w:r>
        <w:rPr>
          <w:rFonts w:hint="eastAsia"/>
          <w:color w:val="auto"/>
        </w:rPr>
        <w:t>全面贯彻实施《保障农民工工资支付条例》，健全保障农民工工资支付工作考核机制。加大日常监督检查力度，落实“双随机、一公开”监管机制，持续开展对突出劳动保障违法问题的专项整治，查处和督办重大劳动保障违法案件。畅通举报投诉渠道，落实首问责任制，规范执法程序，健全</w:t>
      </w:r>
      <w:r>
        <w:rPr>
          <w:rFonts w:hint="eastAsia"/>
          <w:color w:val="auto"/>
        </w:rPr>
        <w:lastRenderedPageBreak/>
        <w:t>执法自由裁量基准制度，推进严格、公正、规范、文明执法。加强欠薪源头治理，落实实名制管理、工资专户管理、总包代发工资、工资保证金、维权信息公示等制度，保障农民工按时足额获得劳动报酬。</w:t>
      </w:r>
    </w:p>
    <w:p w:rsidR="00621FC3" w:rsidRDefault="00F76B79">
      <w:pPr>
        <w:pStyle w:val="a1"/>
        <w:spacing w:line="620" w:lineRule="exact"/>
        <w:ind w:firstLine="640"/>
        <w:rPr>
          <w:color w:val="auto"/>
        </w:rPr>
      </w:pPr>
      <w:r>
        <w:rPr>
          <w:rFonts w:hint="eastAsia"/>
          <w:color w:val="auto"/>
        </w:rPr>
        <w:t>推进信用监管。依托“信用中国(福建厦门)”平台，常态化推送劳动用工红黑名单信息、劳动保障监察行政处理处罚等信用信息，运用守信联合激励和失信联合惩戒方式，突出曝光重大劳动保障违法行为，形成有效震慑。</w:t>
      </w:r>
      <w:bookmarkStart w:id="174" w:name="_Toc57504019"/>
    </w:p>
    <w:p w:rsidR="00621FC3" w:rsidRDefault="00F76B79">
      <w:pPr>
        <w:pStyle w:val="3"/>
        <w:spacing w:line="620" w:lineRule="exact"/>
        <w:rPr>
          <w:rFonts w:ascii="楷体_GB2312" w:eastAsia="楷体_GB2312" w:hAnsi="楷体_GB2312" w:cs="楷体_GB2312"/>
          <w:color w:val="auto"/>
        </w:rPr>
      </w:pPr>
      <w:bookmarkStart w:id="175" w:name="_Toc60730675"/>
      <w:r>
        <w:rPr>
          <w:rFonts w:ascii="楷体_GB2312" w:eastAsia="楷体_GB2312" w:hAnsi="楷体_GB2312" w:cs="楷体_GB2312" w:hint="eastAsia"/>
          <w:color w:val="auto"/>
        </w:rPr>
        <w:t>（三）提升劳动人事争议调解仲裁能力建设</w:t>
      </w:r>
      <w:bookmarkEnd w:id="175"/>
    </w:p>
    <w:p w:rsidR="00621FC3" w:rsidRDefault="00F76B79">
      <w:pPr>
        <w:pStyle w:val="a1"/>
        <w:spacing w:line="620" w:lineRule="exact"/>
        <w:ind w:firstLine="640"/>
        <w:rPr>
          <w:color w:val="auto"/>
        </w:rPr>
      </w:pPr>
      <w:r>
        <w:rPr>
          <w:rFonts w:hint="eastAsia"/>
          <w:color w:val="auto"/>
          <w:szCs w:val="31"/>
        </w:rPr>
        <w:t>加强法院、司法等部门的协调联动</w:t>
      </w:r>
      <w:r>
        <w:rPr>
          <w:rFonts w:hint="eastAsia"/>
          <w:color w:val="auto"/>
        </w:rPr>
        <w:t>。构建过程公开透明、方式便捷有效、结果公平公正的争议仲裁体系，保障争议双方的合法权益，提升劳动人事争议仲裁案件处理质量和效率。</w:t>
      </w:r>
    </w:p>
    <w:p w:rsidR="00621FC3" w:rsidRDefault="00F76B79">
      <w:pPr>
        <w:pStyle w:val="a1"/>
        <w:spacing w:line="620" w:lineRule="exact"/>
        <w:ind w:firstLine="640"/>
        <w:rPr>
          <w:color w:val="auto"/>
        </w:rPr>
      </w:pPr>
      <w:r>
        <w:rPr>
          <w:rFonts w:hint="eastAsia"/>
          <w:color w:val="auto"/>
        </w:rPr>
        <w:t>完善调解仲裁机构建设。建立健全多层次调解组织网络，积极推动乡镇（街道）调解组织建设，加强企业调解组织建设，指导推动建立行业性、区域性调解组织。完善劳动人事争议派出庭和调解点建设，鼓励支持多元力量参与调解。</w:t>
      </w:r>
    </w:p>
    <w:p w:rsidR="00621FC3" w:rsidRDefault="00F76B79">
      <w:pPr>
        <w:pStyle w:val="a1"/>
        <w:spacing w:line="620" w:lineRule="exact"/>
        <w:ind w:firstLine="640"/>
        <w:rPr>
          <w:color w:val="auto"/>
        </w:rPr>
      </w:pPr>
      <w:r>
        <w:rPr>
          <w:rFonts w:hint="eastAsia"/>
          <w:color w:val="auto"/>
        </w:rPr>
        <w:t>完善仲裁办案制度。加强对仲裁办案全过程的规范化管理，简化优化办案程序。推进调解仲裁诉讼的衔接，提高调解成功率、仲裁结案率和仲裁终结率。</w:t>
      </w:r>
    </w:p>
    <w:p w:rsidR="00621FC3" w:rsidRDefault="00F76B79">
      <w:pPr>
        <w:pStyle w:val="a1"/>
        <w:spacing w:line="620" w:lineRule="exact"/>
        <w:ind w:firstLine="640"/>
        <w:rPr>
          <w:color w:val="auto"/>
        </w:rPr>
      </w:pPr>
      <w:r>
        <w:rPr>
          <w:rFonts w:hint="eastAsia"/>
          <w:color w:val="auto"/>
        </w:rPr>
        <w:t>加强调解仲裁队伍建设。拓展调解员来源渠道，充实专兼职仲裁员队伍，健全调解员管理制度，推行调解员名册制度，落实调解员仲裁员分级分类培训。</w:t>
      </w:r>
    </w:p>
    <w:p w:rsidR="00621FC3" w:rsidRDefault="00F76B79">
      <w:pPr>
        <w:pStyle w:val="3"/>
        <w:spacing w:line="620" w:lineRule="exact"/>
        <w:rPr>
          <w:rFonts w:ascii="楷体_GB2312" w:eastAsia="楷体_GB2312" w:hAnsi="楷体_GB2312" w:cs="楷体_GB2312"/>
          <w:color w:val="auto"/>
        </w:rPr>
      </w:pPr>
      <w:bookmarkStart w:id="176" w:name="_Toc60730676"/>
      <w:r>
        <w:rPr>
          <w:rFonts w:ascii="楷体_GB2312" w:eastAsia="楷体_GB2312" w:hAnsi="楷体_GB2312" w:cs="楷体_GB2312" w:hint="eastAsia"/>
          <w:color w:val="auto"/>
        </w:rPr>
        <w:lastRenderedPageBreak/>
        <w:t>（四）加强劳动关系信息化建设</w:t>
      </w:r>
      <w:bookmarkEnd w:id="174"/>
      <w:bookmarkEnd w:id="176"/>
    </w:p>
    <w:p w:rsidR="00621FC3" w:rsidRDefault="00F76B79">
      <w:pPr>
        <w:pStyle w:val="a1"/>
        <w:spacing w:line="620" w:lineRule="exact"/>
        <w:ind w:firstLine="640"/>
        <w:rPr>
          <w:color w:val="auto"/>
        </w:rPr>
      </w:pPr>
      <w:r>
        <w:rPr>
          <w:rFonts w:hint="eastAsia"/>
          <w:color w:val="auto"/>
        </w:rPr>
        <w:t>完善</w:t>
      </w:r>
      <w:r>
        <w:rPr>
          <w:rFonts w:hint="eastAsia"/>
        </w:rPr>
        <w:t>欠薪风险预警与防控系统</w:t>
      </w:r>
      <w:r>
        <w:rPr>
          <w:rFonts w:hint="eastAsia"/>
          <w:color w:val="auto"/>
        </w:rPr>
        <w:t>，提高对重点行业、重点企业劳动关系风险隐患的预警能力和水平，推动劳动关系由事后调处向事前防范转变，推进执法能力与水平提升，提高执法效率。</w:t>
      </w:r>
    </w:p>
    <w:p w:rsidR="00621FC3" w:rsidRDefault="00F76B79">
      <w:pPr>
        <w:pStyle w:val="a1"/>
        <w:spacing w:line="620" w:lineRule="exact"/>
        <w:ind w:firstLine="640"/>
        <w:rPr>
          <w:color w:val="auto"/>
        </w:rPr>
      </w:pPr>
      <w:r>
        <w:rPr>
          <w:rFonts w:hint="eastAsia"/>
          <w:color w:val="auto"/>
        </w:rPr>
        <w:t>加强调解组织基础建设，推进仲裁办案场所标准化建设。</w:t>
      </w:r>
      <w:r>
        <w:rPr>
          <w:rFonts w:hint="eastAsia"/>
          <w:color w:val="auto"/>
          <w:szCs w:val="31"/>
        </w:rPr>
        <w:t>推动“互联网+</w:t>
      </w:r>
      <w:r>
        <w:rPr>
          <w:rFonts w:hint="eastAsia"/>
          <w:color w:val="auto"/>
        </w:rPr>
        <w:t>”</w:t>
      </w:r>
      <w:r>
        <w:rPr>
          <w:rFonts w:hint="eastAsia"/>
          <w:color w:val="auto"/>
          <w:szCs w:val="31"/>
        </w:rPr>
        <w:t>劳动人</w:t>
      </w:r>
      <w:bookmarkStart w:id="177" w:name="OLE_LINK276"/>
      <w:bookmarkStart w:id="178" w:name="OLE_LINK279"/>
      <w:r>
        <w:rPr>
          <w:rFonts w:hint="eastAsia"/>
          <w:color w:val="auto"/>
          <w:szCs w:val="31"/>
        </w:rPr>
        <w:t>事争议</w:t>
      </w:r>
      <w:bookmarkEnd w:id="177"/>
      <w:bookmarkEnd w:id="178"/>
      <w:r>
        <w:rPr>
          <w:rFonts w:hint="eastAsia"/>
          <w:color w:val="auto"/>
          <w:szCs w:val="31"/>
        </w:rPr>
        <w:t>调解仲裁信息服务平台建设，完善“互联网+”调解仲裁服务，推动仲裁系统智能化、精准化再升级。</w:t>
      </w:r>
    </w:p>
    <w:p w:rsidR="00621FC3" w:rsidRDefault="00F76B79">
      <w:pPr>
        <w:pStyle w:val="a1"/>
        <w:spacing w:line="620" w:lineRule="exact"/>
        <w:ind w:firstLine="640"/>
        <w:rPr>
          <w:color w:val="auto"/>
        </w:rPr>
      </w:pPr>
      <w:r>
        <w:rPr>
          <w:rFonts w:hint="eastAsia"/>
          <w:color w:val="auto"/>
        </w:rPr>
        <w:t>推进劳动关系信息共享，加强部门联动配合，建立信访、调解、监察、仲裁“四位一体”一站式劳动纠纷解决服务平台。</w:t>
      </w:r>
    </w:p>
    <w:p w:rsidR="00621FC3" w:rsidRDefault="00F76B79" w:rsidP="002C3AF5">
      <w:pPr>
        <w:pStyle w:val="2"/>
        <w:spacing w:line="620" w:lineRule="exact"/>
        <w:ind w:firstLine="640"/>
        <w:rPr>
          <w:b w:val="0"/>
          <w:bCs w:val="0"/>
          <w:color w:val="auto"/>
        </w:rPr>
      </w:pPr>
      <w:bookmarkStart w:id="179" w:name="_Toc60730677"/>
      <w:r>
        <w:rPr>
          <w:rFonts w:hint="eastAsia"/>
          <w:b w:val="0"/>
          <w:bCs w:val="0"/>
          <w:color w:val="auto"/>
        </w:rPr>
        <w:t>八、强化规划实施保障</w:t>
      </w:r>
      <w:bookmarkEnd w:id="179"/>
    </w:p>
    <w:p w:rsidR="00621FC3" w:rsidRDefault="00F76B79">
      <w:pPr>
        <w:pStyle w:val="a1"/>
        <w:spacing w:line="620" w:lineRule="exact"/>
        <w:ind w:firstLine="640"/>
        <w:rPr>
          <w:color w:val="auto"/>
        </w:rPr>
      </w:pPr>
      <w:r>
        <w:rPr>
          <w:rFonts w:hint="eastAsia"/>
          <w:color w:val="auto"/>
        </w:rPr>
        <w:t>为保障“十四五”规划目标的实现，必须坚持党的领导，加强法治建设，加强安全生产工作，完善基本服务、基础设施，加快数字化、智能化建设，提升队伍水平，做好监测考评，全面提升人力资源和社会保障事业的工作效能和服务水平。</w:t>
      </w:r>
    </w:p>
    <w:p w:rsidR="00621FC3" w:rsidRDefault="00F76B79">
      <w:pPr>
        <w:pStyle w:val="3"/>
        <w:spacing w:line="620" w:lineRule="exact"/>
        <w:rPr>
          <w:rFonts w:ascii="楷体_GB2312" w:eastAsia="楷体_GB2312" w:hAnsi="楷体_GB2312" w:cs="楷体_GB2312"/>
          <w:color w:val="auto"/>
        </w:rPr>
      </w:pPr>
      <w:bookmarkStart w:id="180" w:name="_Toc60730678"/>
      <w:r>
        <w:rPr>
          <w:rFonts w:ascii="楷体_GB2312" w:eastAsia="楷体_GB2312" w:hAnsi="楷体_GB2312" w:cs="楷体_GB2312" w:hint="eastAsia"/>
          <w:color w:val="auto"/>
        </w:rPr>
        <w:t>（一）全面加强党的领导</w:t>
      </w:r>
      <w:bookmarkEnd w:id="180"/>
    </w:p>
    <w:p w:rsidR="00621FC3" w:rsidRDefault="00F76B79">
      <w:pPr>
        <w:pStyle w:val="a1"/>
        <w:spacing w:line="620" w:lineRule="exact"/>
        <w:ind w:firstLine="640"/>
        <w:rPr>
          <w:color w:val="auto"/>
        </w:rPr>
      </w:pPr>
      <w:r>
        <w:rPr>
          <w:color w:val="auto"/>
        </w:rPr>
        <w:t>党的领导是人力资源和社会保障事业健康发展的根本保障。坚持党总揽全局、协调各方，发挥党</w:t>
      </w:r>
      <w:r>
        <w:rPr>
          <w:rFonts w:hint="eastAsia"/>
          <w:color w:val="auto"/>
        </w:rPr>
        <w:t>组织</w:t>
      </w:r>
      <w:r>
        <w:rPr>
          <w:color w:val="auto"/>
        </w:rPr>
        <w:t>在人力资源和社会保障工作中的领导核心作用，为实现</w:t>
      </w:r>
      <w:r>
        <w:rPr>
          <w:rFonts w:hint="eastAsia"/>
          <w:color w:val="auto"/>
        </w:rPr>
        <w:t>“</w:t>
      </w:r>
      <w:r>
        <w:rPr>
          <w:color w:val="auto"/>
        </w:rPr>
        <w:t>十</w:t>
      </w:r>
      <w:r>
        <w:rPr>
          <w:rFonts w:hint="eastAsia"/>
          <w:color w:val="auto"/>
        </w:rPr>
        <w:t>四</w:t>
      </w:r>
      <w:r>
        <w:rPr>
          <w:color w:val="auto"/>
        </w:rPr>
        <w:t>五</w:t>
      </w:r>
      <w:r>
        <w:rPr>
          <w:rFonts w:hint="eastAsia"/>
          <w:color w:val="auto"/>
        </w:rPr>
        <w:t>”</w:t>
      </w:r>
      <w:r>
        <w:rPr>
          <w:color w:val="auto"/>
        </w:rPr>
        <w:t>规划</w:t>
      </w:r>
      <w:r>
        <w:rPr>
          <w:color w:val="auto"/>
        </w:rPr>
        <w:lastRenderedPageBreak/>
        <w:t>提供坚强保证。坚持</w:t>
      </w:r>
      <w:r>
        <w:rPr>
          <w:rFonts w:hint="eastAsia"/>
          <w:color w:val="auto"/>
        </w:rPr>
        <w:t>全面</w:t>
      </w:r>
      <w:r>
        <w:rPr>
          <w:color w:val="auto"/>
        </w:rPr>
        <w:t>从严治党，认真</w:t>
      </w:r>
      <w:r>
        <w:rPr>
          <w:rFonts w:hint="eastAsia"/>
          <w:color w:val="auto"/>
        </w:rPr>
        <w:t>全面</w:t>
      </w:r>
      <w:r>
        <w:rPr>
          <w:color w:val="auto"/>
        </w:rPr>
        <w:t>贯彻</w:t>
      </w:r>
      <w:r>
        <w:rPr>
          <w:rFonts w:hint="eastAsia"/>
          <w:color w:val="auto"/>
        </w:rPr>
        <w:t>十九大及十九届二中</w:t>
      </w:r>
      <w:r>
        <w:rPr>
          <w:rFonts w:hint="eastAsia"/>
          <w:color w:val="auto"/>
          <w:szCs w:val="31"/>
        </w:rPr>
        <w:t>、三中、四中、</w:t>
      </w:r>
      <w:r>
        <w:rPr>
          <w:rFonts w:hint="eastAsia"/>
          <w:color w:val="auto"/>
        </w:rPr>
        <w:t>五中全会</w:t>
      </w:r>
      <w:r>
        <w:rPr>
          <w:color w:val="auto"/>
        </w:rPr>
        <w:t>精神，</w:t>
      </w:r>
      <w:r>
        <w:rPr>
          <w:color w:val="auto"/>
          <w:shd w:val="clear" w:color="auto" w:fill="FFFFFF"/>
        </w:rPr>
        <w:t>持之以恒地改进行风、政风、作风，为事业发展营造良好的政治生态。在党</w:t>
      </w:r>
      <w:r>
        <w:rPr>
          <w:rFonts w:hint="eastAsia"/>
          <w:color w:val="auto"/>
          <w:shd w:val="clear" w:color="auto" w:fill="FFFFFF"/>
        </w:rPr>
        <w:t>的</w:t>
      </w:r>
      <w:r>
        <w:rPr>
          <w:color w:val="auto"/>
          <w:shd w:val="clear" w:color="auto" w:fill="FFFFFF"/>
        </w:rPr>
        <w:t>领导下，以多种形式认真做好规划的宣传引导工作</w:t>
      </w:r>
      <w:r>
        <w:rPr>
          <w:rFonts w:hint="eastAsia"/>
          <w:color w:val="auto"/>
          <w:shd w:val="clear" w:color="auto" w:fill="FFFFFF"/>
        </w:rPr>
        <w:t>，</w:t>
      </w:r>
      <w:r>
        <w:rPr>
          <w:rFonts w:hint="eastAsia"/>
          <w:color w:val="auto"/>
        </w:rPr>
        <w:t>充分</w:t>
      </w:r>
      <w:r>
        <w:rPr>
          <w:color w:val="auto"/>
        </w:rPr>
        <w:t>发挥</w:t>
      </w:r>
      <w:r>
        <w:rPr>
          <w:rFonts w:hint="eastAsia"/>
          <w:color w:val="auto"/>
        </w:rPr>
        <w:t>基层党组织</w:t>
      </w:r>
      <w:r>
        <w:rPr>
          <w:color w:val="auto"/>
        </w:rPr>
        <w:t>战斗堡垒作用</w:t>
      </w:r>
      <w:r>
        <w:rPr>
          <w:rFonts w:hint="eastAsia"/>
          <w:color w:val="auto"/>
        </w:rPr>
        <w:t>和党员先锋模范作用</w:t>
      </w:r>
      <w:r>
        <w:rPr>
          <w:color w:val="auto"/>
        </w:rPr>
        <w:t>，推动人力资源和社会保障事业发展。</w:t>
      </w:r>
    </w:p>
    <w:p w:rsidR="00621FC3" w:rsidRDefault="00F76B79">
      <w:pPr>
        <w:pStyle w:val="3"/>
        <w:spacing w:line="620" w:lineRule="exact"/>
        <w:rPr>
          <w:rFonts w:ascii="楷体_GB2312" w:eastAsia="楷体_GB2312" w:hAnsi="楷体_GB2312" w:cs="楷体_GB2312"/>
          <w:color w:val="auto"/>
        </w:rPr>
      </w:pPr>
      <w:bookmarkStart w:id="181" w:name="_Toc60730679"/>
      <w:r>
        <w:rPr>
          <w:rFonts w:ascii="楷体_GB2312" w:eastAsia="楷体_GB2312" w:hAnsi="楷体_GB2312" w:cs="楷体_GB2312" w:hint="eastAsia"/>
          <w:color w:val="auto"/>
        </w:rPr>
        <w:t>（二）完善规划实施机制</w:t>
      </w:r>
      <w:bookmarkEnd w:id="181"/>
    </w:p>
    <w:p w:rsidR="00621FC3" w:rsidRDefault="00F76B79">
      <w:pPr>
        <w:pStyle w:val="a1"/>
        <w:spacing w:line="620" w:lineRule="exact"/>
        <w:ind w:firstLine="640"/>
        <w:rPr>
          <w:color w:val="auto"/>
        </w:rPr>
      </w:pPr>
      <w:r>
        <w:rPr>
          <w:rFonts w:hint="eastAsia"/>
          <w:color w:val="auto"/>
        </w:rPr>
        <w:t>深入贯彻落实国家、省、市有关人力资源与社会保障法律法规，严格行政执法，深入推进“法治人社”建设。针对就业创业、社会保障遇到的新情况、新问题，及时开展调查研究，兼顾前瞻性和可行性，保障科学性和系统性，结合本市发展实际，积极推动适应经济社会发展需求的政策法规体系的完善。加大政务公开力度，推动权力运行监督机制的完善，以法治规范行政行为、提高行政水平。加强法治宣传教育，提升依法行政的意识和能力。完善人社基本公共服务设施建设。优化市、区、镇（街道）、村（居）四级网络公共服务基础设施建设，以标准化建设推进公共服务规范化、均等化、便捷化、普惠化、专业化。</w:t>
      </w:r>
    </w:p>
    <w:p w:rsidR="00621FC3" w:rsidRDefault="00F76B79">
      <w:pPr>
        <w:pStyle w:val="a1"/>
        <w:spacing w:line="620" w:lineRule="exact"/>
        <w:ind w:firstLine="640"/>
        <w:rPr>
          <w:color w:val="auto"/>
        </w:rPr>
      </w:pPr>
      <w:r>
        <w:rPr>
          <w:rFonts w:hint="eastAsia"/>
          <w:color w:val="auto"/>
        </w:rPr>
        <w:t>加强服务窗口建设，优化“一窗受理、集成服务”服务模式，完善窗口单位“五制、四公开、三亮明”制度，推广告知承诺制。整合就业、人才、社保等经办管理机构资源，推进各项业务全链条在线流转，实现企业和群众眼里的“一</w:t>
      </w:r>
      <w:r>
        <w:rPr>
          <w:rFonts w:hint="eastAsia"/>
          <w:color w:val="auto"/>
        </w:rPr>
        <w:lastRenderedPageBreak/>
        <w:t>件事”打包办，高频事项“提速办”，所有事项“简便办”，实现人社业务更快办理，提升群众满意度。完善基层服务体系建设，创新管理模式，激发街道、社区在就业促进和社会保障服务方面的活力。</w:t>
      </w:r>
    </w:p>
    <w:p w:rsidR="00621FC3" w:rsidRDefault="00F76B79">
      <w:pPr>
        <w:pStyle w:val="a1"/>
        <w:spacing w:line="620" w:lineRule="exact"/>
        <w:ind w:firstLine="620"/>
        <w:rPr>
          <w:color w:val="FF0000"/>
        </w:rPr>
      </w:pPr>
      <w:r>
        <w:rPr>
          <w:rFonts w:hint="eastAsia"/>
          <w:sz w:val="31"/>
          <w:szCs w:val="31"/>
        </w:rPr>
        <w:t>推进信息化建设。完善人社业务综合平台建设，以“全数据共享、全服务上网</w:t>
      </w:r>
      <w:bookmarkStart w:id="182" w:name="hmjd_error_1_0_全业务用_劝也无用_20755"/>
      <w:r>
        <w:rPr>
          <w:rFonts w:hint="eastAsia"/>
          <w:sz w:val="31"/>
          <w:szCs w:val="31"/>
        </w:rPr>
        <w:t>、全业</w:t>
      </w:r>
      <w:bookmarkEnd w:id="182"/>
      <w:r>
        <w:rPr>
          <w:rFonts w:hint="eastAsia"/>
          <w:sz w:val="31"/>
          <w:szCs w:val="31"/>
        </w:rPr>
        <w:t>务用卡”为重点，集中整合数据资源，简化优化业务流程，推动数据共享和业务协同，全面提升人社信息化创新应用水平。完善人</w:t>
      </w:r>
      <w:bookmarkStart w:id="183" w:name="hmjd_error_2_0_社_社_21109"/>
      <w:r>
        <w:rPr>
          <w:rFonts w:hint="eastAsia"/>
          <w:sz w:val="31"/>
          <w:szCs w:val="31"/>
        </w:rPr>
        <w:t>社</w:t>
      </w:r>
      <w:bookmarkEnd w:id="183"/>
      <w:r>
        <w:rPr>
          <w:rFonts w:hint="eastAsia"/>
          <w:sz w:val="31"/>
          <w:szCs w:val="31"/>
        </w:rPr>
        <w:t>公共服务平台，增加网上服务内容，推动公共服务精准化、智能化，推进跨省通办，提升人</w:t>
      </w:r>
      <w:bookmarkStart w:id="184" w:name="hmjd_error_2_0_社_社_21152"/>
      <w:r>
        <w:rPr>
          <w:rFonts w:hint="eastAsia"/>
          <w:sz w:val="31"/>
          <w:szCs w:val="31"/>
        </w:rPr>
        <w:t>社</w:t>
      </w:r>
      <w:bookmarkEnd w:id="184"/>
      <w:r>
        <w:rPr>
          <w:rFonts w:hint="eastAsia"/>
          <w:sz w:val="31"/>
          <w:szCs w:val="31"/>
        </w:rPr>
        <w:t>公共服务信息化水平。继续推进第三代社会保障卡发行和电子社保卡工作，提升社</w:t>
      </w:r>
      <w:bookmarkStart w:id="185" w:name="hmjd_error_2_0_综_综_21281"/>
      <w:r>
        <w:rPr>
          <w:rFonts w:hint="eastAsia"/>
          <w:sz w:val="31"/>
          <w:szCs w:val="31"/>
        </w:rPr>
        <w:t>保</w:t>
      </w:r>
      <w:bookmarkEnd w:id="185"/>
      <w:r>
        <w:rPr>
          <w:rFonts w:hint="eastAsia"/>
          <w:sz w:val="31"/>
          <w:szCs w:val="31"/>
        </w:rPr>
        <w:t>卡线上线下综合服务能力，实现人</w:t>
      </w:r>
      <w:bookmarkStart w:id="186" w:name="hmjd_error_2_0_社_社_21297"/>
      <w:r>
        <w:rPr>
          <w:rFonts w:hint="eastAsia"/>
          <w:sz w:val="31"/>
          <w:szCs w:val="31"/>
        </w:rPr>
        <w:t>社</w:t>
      </w:r>
      <w:bookmarkEnd w:id="186"/>
      <w:r>
        <w:rPr>
          <w:rFonts w:hint="eastAsia"/>
          <w:sz w:val="31"/>
          <w:szCs w:val="31"/>
        </w:rPr>
        <w:t>“</w:t>
      </w:r>
      <w:bookmarkStart w:id="187" w:name="hmjd_error_1_0_全业务用_劝也无用_21299"/>
      <w:r>
        <w:rPr>
          <w:rFonts w:hint="eastAsia"/>
          <w:sz w:val="31"/>
          <w:szCs w:val="31"/>
        </w:rPr>
        <w:t>全业务用</w:t>
      </w:r>
      <w:bookmarkEnd w:id="187"/>
      <w:r>
        <w:rPr>
          <w:rFonts w:hint="eastAsia"/>
          <w:sz w:val="31"/>
          <w:szCs w:val="31"/>
        </w:rPr>
        <w:t>卡”，推动建立以社会保障卡为载体的居民服务“一卡通”新格局。推进12333智能语音系统建设。加强网络安全保障体系建设，提升人社信息系统网络和信息安全的防护能力。</w:t>
      </w:r>
    </w:p>
    <w:p w:rsidR="00621FC3" w:rsidRDefault="00F76B79">
      <w:pPr>
        <w:pStyle w:val="a1"/>
        <w:spacing w:line="620" w:lineRule="exact"/>
        <w:ind w:firstLine="640"/>
        <w:rPr>
          <w:color w:val="auto"/>
        </w:rPr>
      </w:pPr>
      <w:r>
        <w:rPr>
          <w:rFonts w:hint="eastAsia"/>
          <w:color w:val="auto"/>
        </w:rPr>
        <w:t>强化舆情引导。综合运用多种信息发布渠道，增强人力资源和社会保障工作的透明度。加强对相关法律法规的解读，提高群众的政策法规了解度、理解度，增强法律意识，提升维护自身权益的能力。运用各种媒介，通过全媒体宣传、多角度互动，收集社会舆论并引领舆论。营造利于人力资源和社会保障事业发展的舆论氛围，为规划实施创造良好的外部环境。</w:t>
      </w:r>
    </w:p>
    <w:p w:rsidR="00621FC3" w:rsidRDefault="00F76B79">
      <w:pPr>
        <w:pStyle w:val="3"/>
        <w:spacing w:line="620" w:lineRule="exact"/>
        <w:rPr>
          <w:rFonts w:ascii="楷体_GB2312" w:eastAsia="楷体_GB2312" w:hAnsi="楷体_GB2312" w:cs="楷体_GB2312"/>
          <w:color w:val="auto"/>
        </w:rPr>
      </w:pPr>
      <w:bookmarkStart w:id="188" w:name="_Toc60730680"/>
      <w:r>
        <w:rPr>
          <w:rFonts w:ascii="楷体_GB2312" w:eastAsia="楷体_GB2312" w:hAnsi="楷体_GB2312" w:cs="楷体_GB2312" w:hint="eastAsia"/>
          <w:color w:val="auto"/>
        </w:rPr>
        <w:lastRenderedPageBreak/>
        <w:t>（三）提升能力建设</w:t>
      </w:r>
      <w:bookmarkEnd w:id="188"/>
    </w:p>
    <w:p w:rsidR="00621FC3" w:rsidRDefault="00F76B79">
      <w:pPr>
        <w:pStyle w:val="a1"/>
        <w:spacing w:line="620" w:lineRule="exact"/>
        <w:ind w:firstLine="640"/>
        <w:rPr>
          <w:color w:val="auto"/>
        </w:rPr>
      </w:pPr>
      <w:r>
        <w:rPr>
          <w:rFonts w:hint="eastAsia"/>
          <w:color w:val="auto"/>
        </w:rPr>
        <w:t>加强队伍建设。分级分类开展业务培训和专题培训，提高全系统干部能力素质和业务水平，打造政治坚定、服务为民、勤政务实、业务精湛的高素质干部队伍。健全绩效考评和激励机制，提升服务积极性、主动性，激发创新性。</w:t>
      </w:r>
    </w:p>
    <w:p w:rsidR="00621FC3" w:rsidRDefault="00F76B79">
      <w:pPr>
        <w:pStyle w:val="a1"/>
        <w:spacing w:line="620" w:lineRule="exact"/>
        <w:ind w:firstLine="640"/>
        <w:rPr>
          <w:color w:val="auto"/>
        </w:rPr>
      </w:pPr>
      <w:r>
        <w:rPr>
          <w:rFonts w:hint="eastAsia"/>
          <w:color w:val="auto"/>
        </w:rPr>
        <w:t>保障财政资金。坚持保民生基本方略，加大资金支持力度，提高财政投入水平，统筹协调各类资金，完善财政资金投入机制。完善资金预算和监督体系的建立，推动实施资金绩效管理，提升使用效益，加强对资金使用情况的监管，保障资金使用的规范性和安全性。</w:t>
      </w:r>
    </w:p>
    <w:p w:rsidR="00621FC3" w:rsidRDefault="00F76B79">
      <w:pPr>
        <w:pStyle w:val="3"/>
        <w:spacing w:line="620" w:lineRule="exact"/>
        <w:rPr>
          <w:rFonts w:ascii="楷体_GB2312" w:eastAsia="楷体_GB2312" w:hAnsi="楷体_GB2312" w:cs="楷体_GB2312"/>
          <w:color w:val="auto"/>
        </w:rPr>
      </w:pPr>
      <w:bookmarkStart w:id="189" w:name="_Toc60730681"/>
      <w:r>
        <w:rPr>
          <w:rFonts w:ascii="楷体_GB2312" w:eastAsia="楷体_GB2312" w:hAnsi="楷体_GB2312" w:cs="楷体_GB2312" w:hint="eastAsia"/>
          <w:color w:val="auto"/>
        </w:rPr>
        <w:t>（四）健全监测考评机制</w:t>
      </w:r>
      <w:bookmarkEnd w:id="189"/>
    </w:p>
    <w:p w:rsidR="00621FC3" w:rsidRDefault="00F76B79">
      <w:pPr>
        <w:pStyle w:val="a1"/>
        <w:spacing w:line="620" w:lineRule="exact"/>
        <w:ind w:firstLine="640"/>
        <w:rPr>
          <w:color w:val="auto"/>
        </w:rPr>
      </w:pPr>
      <w:r>
        <w:rPr>
          <w:rFonts w:hint="eastAsia"/>
          <w:color w:val="auto"/>
        </w:rPr>
        <w:t>加强任务落实，开展绩效评估考核，健全人力资源和社会保障统计管理体制，完善定期分析和专项分析相结合的统计分析制度，提高实效性和针对性，有效发挥决策参谋作用。</w:t>
      </w:r>
      <w:bookmarkStart w:id="190" w:name="OLE_LINK307"/>
      <w:bookmarkStart w:id="191" w:name="OLE_LINK306"/>
      <w:r>
        <w:rPr>
          <w:rFonts w:hint="eastAsia"/>
          <w:color w:val="auto"/>
        </w:rPr>
        <w:t>完善年度、中期评估制度，接受相关部门和社会的监督检查。</w:t>
      </w:r>
      <w:bookmarkEnd w:id="190"/>
      <w:bookmarkEnd w:id="191"/>
    </w:p>
    <w:p w:rsidR="002C3AF5" w:rsidRDefault="002C3AF5"/>
    <w:sectPr w:rsidR="002C3AF5" w:rsidSect="00621FC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34D" w:rsidRDefault="00D7534D">
      <w:r>
        <w:separator/>
      </w:r>
    </w:p>
  </w:endnote>
  <w:endnote w:type="continuationSeparator" w:id="1">
    <w:p w:rsidR="00D7534D" w:rsidRDefault="00D75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charset w:val="00"/>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C3" w:rsidRDefault="00897A06">
    <w:pPr>
      <w:pStyle w:val="a5"/>
    </w:pPr>
    <w: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5772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filled="f" stroked="f" strokeweight=".5pt">
          <v:fill o:detectmouseclick="t"/>
          <v:textbox style="mso-fit-shape-to-text:t" inset="0,0,0,0">
            <w:txbxContent>
              <w:p w:rsidR="00621FC3" w:rsidRDefault="00897A06">
                <w:pPr>
                  <w:pStyle w:val="a5"/>
                </w:pPr>
                <w:r>
                  <w:fldChar w:fldCharType="begin"/>
                </w:r>
                <w:r w:rsidR="00F76B79">
                  <w:instrText xml:space="preserve"> PAGE  \* MERGEFORMAT </w:instrText>
                </w:r>
                <w:r>
                  <w:fldChar w:fldCharType="separate"/>
                </w:r>
                <w:r w:rsidR="00410B2B">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34D" w:rsidRDefault="00D7534D">
      <w:r>
        <w:separator/>
      </w:r>
    </w:p>
  </w:footnote>
  <w:footnote w:type="continuationSeparator" w:id="1">
    <w:p w:rsidR="00D7534D" w:rsidRDefault="00D753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71F"/>
    <w:rsid w:val="BDEFA755"/>
    <w:rsid w:val="EEFB7E45"/>
    <w:rsid w:val="EFF29BE6"/>
    <w:rsid w:val="FDFE0C09"/>
    <w:rsid w:val="00001DAE"/>
    <w:rsid w:val="002C3AF5"/>
    <w:rsid w:val="00410B2B"/>
    <w:rsid w:val="00621FC3"/>
    <w:rsid w:val="00666599"/>
    <w:rsid w:val="0078471F"/>
    <w:rsid w:val="007904BC"/>
    <w:rsid w:val="00792CAC"/>
    <w:rsid w:val="00897A06"/>
    <w:rsid w:val="008A226D"/>
    <w:rsid w:val="00AB3D62"/>
    <w:rsid w:val="00D7534D"/>
    <w:rsid w:val="00F76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2" w:uiPriority="39" w:qFormat="1"/>
    <w:lsdException w:name="toc 3" w:uiPriority="39" w:qFormat="1"/>
    <w:lsdException w:name="Normal Indent"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1FC3"/>
    <w:pPr>
      <w:widowControl w:val="0"/>
      <w:jc w:val="both"/>
    </w:pPr>
    <w:rPr>
      <w:rFonts w:eastAsia="楷体_GB2312"/>
      <w:kern w:val="2"/>
      <w:sz w:val="21"/>
      <w:szCs w:val="24"/>
    </w:rPr>
  </w:style>
  <w:style w:type="paragraph" w:styleId="1">
    <w:name w:val="heading 1"/>
    <w:basedOn w:val="a"/>
    <w:next w:val="a"/>
    <w:qFormat/>
    <w:rsid w:val="00621FC3"/>
    <w:pPr>
      <w:keepNext/>
      <w:keepLines/>
      <w:spacing w:before="340" w:after="330" w:line="578" w:lineRule="auto"/>
      <w:outlineLvl w:val="0"/>
    </w:pPr>
    <w:rPr>
      <w:b/>
      <w:bCs/>
      <w:kern w:val="44"/>
      <w:sz w:val="44"/>
      <w:szCs w:val="44"/>
    </w:rPr>
  </w:style>
  <w:style w:type="paragraph" w:styleId="2">
    <w:name w:val="heading 2"/>
    <w:basedOn w:val="a"/>
    <w:next w:val="a"/>
    <w:qFormat/>
    <w:rsid w:val="00621FC3"/>
    <w:pPr>
      <w:adjustRightInd w:val="0"/>
      <w:snapToGrid w:val="0"/>
      <w:spacing w:line="360" w:lineRule="auto"/>
      <w:ind w:firstLineChars="200" w:firstLine="200"/>
      <w:outlineLvl w:val="1"/>
    </w:pPr>
    <w:rPr>
      <w:rFonts w:ascii="黑体" w:eastAsia="黑体" w:cs="黑体"/>
      <w:b/>
      <w:bCs/>
      <w:color w:val="000000"/>
      <w:kern w:val="44"/>
      <w:sz w:val="32"/>
      <w:szCs w:val="32"/>
    </w:rPr>
  </w:style>
  <w:style w:type="paragraph" w:styleId="3">
    <w:name w:val="heading 3"/>
    <w:basedOn w:val="a1"/>
    <w:next w:val="a"/>
    <w:qFormat/>
    <w:rsid w:val="00621FC3"/>
    <w:pPr>
      <w:ind w:firstLineChars="0" w:firstLine="641"/>
      <w:outlineLvl w:val="2"/>
    </w:pPr>
    <w:rPr>
      <w:b/>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rsid w:val="00621FC3"/>
    <w:pPr>
      <w:ind w:firstLineChars="200" w:firstLine="200"/>
    </w:pPr>
  </w:style>
  <w:style w:type="paragraph" w:customStyle="1" w:styleId="a1">
    <w:name w:val="正文内容"/>
    <w:basedOn w:val="a"/>
    <w:next w:val="5"/>
    <w:qFormat/>
    <w:rsid w:val="00621FC3"/>
    <w:pPr>
      <w:adjustRightInd w:val="0"/>
      <w:snapToGrid w:val="0"/>
      <w:spacing w:line="360" w:lineRule="auto"/>
      <w:ind w:firstLineChars="200" w:firstLine="200"/>
    </w:pPr>
    <w:rPr>
      <w:rFonts w:ascii="仿宋_GB2312" w:eastAsia="仿宋_GB2312" w:cs="仿宋_GB2312"/>
      <w:color w:val="000000"/>
      <w:kern w:val="0"/>
      <w:sz w:val="32"/>
      <w:szCs w:val="32"/>
    </w:rPr>
  </w:style>
  <w:style w:type="paragraph" w:styleId="5">
    <w:name w:val="index 5"/>
    <w:basedOn w:val="a"/>
    <w:next w:val="a"/>
    <w:qFormat/>
    <w:rsid w:val="00621FC3"/>
    <w:pPr>
      <w:ind w:left="1680"/>
    </w:pPr>
  </w:style>
  <w:style w:type="paragraph" w:styleId="30">
    <w:name w:val="toc 3"/>
    <w:basedOn w:val="a"/>
    <w:next w:val="a"/>
    <w:uiPriority w:val="39"/>
    <w:qFormat/>
    <w:rsid w:val="00621FC3"/>
    <w:pPr>
      <w:tabs>
        <w:tab w:val="right" w:leader="dot" w:pos="9030"/>
      </w:tabs>
      <w:ind w:leftChars="400" w:left="400"/>
    </w:pPr>
  </w:style>
  <w:style w:type="paragraph" w:styleId="a5">
    <w:name w:val="footer"/>
    <w:basedOn w:val="a"/>
    <w:qFormat/>
    <w:rsid w:val="00621FC3"/>
    <w:pPr>
      <w:tabs>
        <w:tab w:val="center" w:pos="4153"/>
        <w:tab w:val="right" w:pos="8306"/>
      </w:tabs>
      <w:snapToGrid w:val="0"/>
      <w:jc w:val="left"/>
    </w:pPr>
    <w:rPr>
      <w:sz w:val="18"/>
      <w:szCs w:val="18"/>
    </w:rPr>
  </w:style>
  <w:style w:type="paragraph" w:styleId="a6">
    <w:name w:val="header"/>
    <w:basedOn w:val="a"/>
    <w:rsid w:val="00621FC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0">
    <w:name w:val="toc 2"/>
    <w:basedOn w:val="a"/>
    <w:next w:val="a"/>
    <w:uiPriority w:val="39"/>
    <w:qFormat/>
    <w:rsid w:val="00621FC3"/>
    <w:pPr>
      <w:ind w:leftChars="400" w:left="400"/>
    </w:pPr>
    <w:rPr>
      <w:rFonts w:eastAsia="仿宋"/>
      <w:sz w:val="32"/>
    </w:rPr>
  </w:style>
  <w:style w:type="character" w:styleId="a7">
    <w:name w:val="page number"/>
    <w:qFormat/>
    <w:rsid w:val="00621FC3"/>
  </w:style>
  <w:style w:type="character" w:styleId="a8">
    <w:name w:val="Hyperlink"/>
    <w:uiPriority w:val="99"/>
    <w:qFormat/>
    <w:rsid w:val="00621FC3"/>
    <w:rPr>
      <w:color w:val="0000FF"/>
      <w:u w:val="single"/>
    </w:rPr>
  </w:style>
  <w:style w:type="paragraph" w:customStyle="1" w:styleId="Style6">
    <w:name w:val="_Style 6"/>
    <w:basedOn w:val="1"/>
    <w:next w:val="a"/>
    <w:qFormat/>
    <w:rsid w:val="00621FC3"/>
    <w:pPr>
      <w:widowControl/>
      <w:spacing w:before="240" w:after="0" w:line="259" w:lineRule="auto"/>
      <w:jc w:val="left"/>
      <w:outlineLvl w:val="9"/>
    </w:pPr>
    <w:rPr>
      <w:rFonts w:ascii="等线 Light" w:eastAsia="等线 Light"/>
      <w:b w:val="0"/>
      <w:bCs w:val="0"/>
      <w:color w:val="2F5496"/>
      <w:kern w:val="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fb\&#26700;&#38754;\&#20851;&#20110;&#25552;&#35831;&#23457;&#35758;&#12298;&#21414;&#38376;&#24066;&#8220;&#21313;&#22235;&#20116;&#8221;&#20154;&#21147;&#36164;&#28304;&#21644;&#31038;&#20250;&#20445;&#38556;&#20107;&#19994;&#21457;&#23637;&#19987;&#39033;&#35268;&#21010;&#12299;&#30340;&#35831;&#31034;\&#21457;&#25991;\&#21414;&#38376;&#24066;&#8220;&#21313;&#22235;&#20116;&#8221;&#20154;&#21147;&#36164;&#28304;&#21644;&#31038;&#20250;&#20445;&#38556;&#20107;&#19994;&#21457;&#23637;&#19987;&#39033;&#35268;&#21010;&#65288;&#21457;&#25991;&#3129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厦门市“十四五”人力资源和社会保障事业发展专项规划（发文稿）.dot</Template>
  <TotalTime>10</TotalTime>
  <Pages>42</Pages>
  <Words>3561</Words>
  <Characters>20299</Characters>
  <Application>Microsoft Office Word</Application>
  <DocSecurity>0</DocSecurity>
  <Lines>169</Lines>
  <Paragraphs>47</Paragraphs>
  <ScaleCrop>false</ScaleCrop>
  <Company/>
  <LinksUpToDate>false</LinksUpToDate>
  <CharactersWithSpaces>23813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sfb</dc:creator>
  <cp:lastModifiedBy>江鹭燕</cp:lastModifiedBy>
  <cp:revision>7</cp:revision>
  <cp:lastPrinted>2021-10-26T00:36:00Z</cp:lastPrinted>
  <dcterms:created xsi:type="dcterms:W3CDTF">2021-10-25T00:43:00Z</dcterms:created>
  <dcterms:modified xsi:type="dcterms:W3CDTF">2021-10-26T00:37:00Z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