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厦门市人力资源和社会保障局普法责任清单（2022年度）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663"/>
        <w:gridCol w:w="2412"/>
        <w:gridCol w:w="437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top"/>
          </w:tcPr>
          <w:p>
            <w:pPr>
              <w:spacing w:line="620" w:lineRule="exact"/>
              <w:ind w:left="243" w:leftChars="76" w:firstLine="422" w:firstLineChars="15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0</wp:posOffset>
                      </wp:positionV>
                      <wp:extent cx="1025525" cy="1174750"/>
                      <wp:effectExtent l="3810" t="3175" r="18415" b="31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25" cy="117475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5pt;margin-top:0pt;height:92.5pt;width:80.75pt;z-index:251659264;mso-width-relative:page;mso-height-relative:page;" filled="f" stroked="t" coordsize="21600,21600" o:gfxdata="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lBJ7UAAAABwEAAA8AAAAAAAAAAQAgAAAAIgAAAGRycy9kb3ducmV2&#10;LnhtbFBLAQIUABQAAAAIAIdO4kAZIXFnAAIAAPgDAAAOAAAAAAAAAAEAIAAAACMBAABkcnMvZTJv&#10;RG9jLnhtbFBLBQYAAAAABgAGAFkBAACVBQAAAAA=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任务   处室</w:t>
            </w:r>
          </w:p>
          <w:p>
            <w:pPr>
              <w:spacing w:line="6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(单位)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年度重点宣传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普及法律法规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内部学法活动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面向执法（服务）对象及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社会公众开展的普法活动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与其它部门联合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开展的普法活动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机关党委、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政策法规与规划处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《习近平法治思想》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组织内部学习，订购分发《习近平法治思想学习纲要》</w:t>
            </w:r>
          </w:p>
        </w:tc>
        <w:tc>
          <w:tcPr>
            <w:tcW w:w="4375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通过面向公众的各大电子屏幕宣传；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网站媒体等多渠道宣传。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政策法规与规划处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《中华人民共和国宪法》《中华人民共和国民法典》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1.开展现场宣传；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网站媒体等多渠道宣传；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12·4国家宪法周宣传活动；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“美好生活·民法典相伴”主题宣传教育活动。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社保基金监督与财务审计处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《社会保险基金行政监督办法》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通过局门户网站、公众号等平台宣传。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职业能力建设处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《中华人民共和国职业教育法》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通过教研会等活动组织技工院校学习。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与市教育局等部门开展研究学习活动。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top"/>
          </w:tcPr>
          <w:p>
            <w:pPr>
              <w:spacing w:line="620" w:lineRule="exact"/>
              <w:ind w:left="243" w:leftChars="76" w:firstLine="422" w:firstLineChars="15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0</wp:posOffset>
                      </wp:positionV>
                      <wp:extent cx="1025525" cy="1174750"/>
                      <wp:effectExtent l="3810" t="3175" r="18415" b="31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25" cy="117475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5pt;margin-top:0pt;height:92.5pt;width:80.75pt;z-index:251660288;mso-width-relative:page;mso-height-relative:page;" filled="f" stroked="t" coordsize="21600,21600" o:gfxdata="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lBJ7UAAAABwEAAA8AAAAAAAAAAQAgAAAAIgAAAGRycy9kb3ducmV2&#10;LnhtbFBLAQIUABQAAAAIAIdO4kATqSbmAAIAAPgDAAAOAAAAAAAAAAEAIAAAACMBAABkcnMvZTJv&#10;RG9jLnhtbFBLBQYAAAAABgAGAFkBAACVBQAAAAA=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任务   处室</w:t>
            </w:r>
          </w:p>
          <w:p>
            <w:pPr>
              <w:spacing w:line="6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(单位)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年度重点宣传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普及法律法规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内部学法活动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面向执法（服务）对象及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社会公众开展的普法活动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与其它部门联合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开展的普法活动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工伤保险处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eastAsia="仿宋_GB2312"/>
                <w:sz w:val="27"/>
                <w:szCs w:val="27"/>
              </w:rPr>
              <w:t>《工伤保险条例》《厦门市实施</w:t>
            </w:r>
            <w:r>
              <w:rPr>
                <w:rFonts w:ascii="仿宋" w:hAnsi="仿宋" w:eastAsia="仿宋"/>
                <w:sz w:val="27"/>
                <w:szCs w:val="27"/>
              </w:rPr>
              <w:t>&lt;</w:t>
            </w:r>
            <w:r>
              <w:rPr>
                <w:rFonts w:ascii="仿宋_GB2312" w:eastAsia="仿宋_GB2312"/>
                <w:sz w:val="27"/>
                <w:szCs w:val="27"/>
              </w:rPr>
              <w:t>工伤保险条例</w:t>
            </w:r>
            <w:r>
              <w:rPr>
                <w:rFonts w:ascii="仿宋" w:hAnsi="仿宋" w:eastAsia="仿宋"/>
                <w:sz w:val="27"/>
                <w:szCs w:val="27"/>
              </w:rPr>
              <w:t>&gt;</w:t>
            </w:r>
            <w:r>
              <w:rPr>
                <w:rFonts w:ascii="仿宋_GB2312" w:eastAsia="仿宋_GB2312"/>
                <w:sz w:val="27"/>
                <w:szCs w:val="27"/>
              </w:rPr>
              <w:t>规定》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eastAsia="仿宋_GB2312"/>
                <w:sz w:val="27"/>
                <w:szCs w:val="27"/>
              </w:rPr>
              <w:t>组织</w:t>
            </w:r>
            <w:r>
              <w:rPr>
                <w:rFonts w:hint="eastAsia" w:ascii="仿宋_GB2312" w:eastAsia="仿宋_GB2312"/>
                <w:sz w:val="27"/>
                <w:szCs w:val="27"/>
              </w:rPr>
              <w:t>内部</w:t>
            </w:r>
            <w:r>
              <w:rPr>
                <w:rFonts w:ascii="仿宋_GB2312" w:eastAsia="仿宋_GB2312"/>
                <w:sz w:val="27"/>
                <w:szCs w:val="27"/>
              </w:rPr>
              <w:t>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7"/>
                <w:szCs w:val="27"/>
              </w:rPr>
              <w:t>1.</w:t>
            </w:r>
            <w:r>
              <w:rPr>
                <w:rFonts w:ascii="仿宋_GB2312" w:hAnsi="宋体" w:eastAsia="仿宋_GB2312" w:cs="宋体"/>
                <w:kern w:val="0"/>
                <w:sz w:val="27"/>
                <w:szCs w:val="27"/>
              </w:rPr>
              <w:t>媒体宣传；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7"/>
                <w:szCs w:val="27"/>
              </w:rPr>
              <w:t>2.</w:t>
            </w:r>
            <w:r>
              <w:rPr>
                <w:rFonts w:ascii="仿宋_GB2312" w:hAnsi="宋体" w:eastAsia="仿宋_GB2312" w:cs="宋体"/>
                <w:kern w:val="0"/>
                <w:sz w:val="27"/>
                <w:szCs w:val="27"/>
              </w:rPr>
              <w:t>办班培训。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劳动关系处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《中华人民共和国劳动法》《中华人民共和国劳动合同法》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1.开展现场宣传，进行政策宣讲；</w:t>
            </w:r>
          </w:p>
          <w:p>
            <w:pPr>
              <w:spacing w:line="360" w:lineRule="exact"/>
              <w:rPr>
                <w:rFonts w:ascii="黑体" w:eastAsia="黑体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2.通过局门户网站、公众号、厦门日报、厦门晚报等主流媒体多渠道宣传。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与市企联、工商联、总工会、劳动关系学会组织等合作，开展面向企业的政策宣讲活动。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市社保中心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《中华人民共和国社会保险法》《工伤保险条例》《失业保险条例》等社会保障领域法律法规</w:t>
            </w:r>
          </w:p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开展惠民政策进社区宣讲活动；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通过“厦门智慧人社”微信公众号、海西晨报等渠道宣传。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市劳动保障监察支队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《保障农民工工资支付条例》等劳动保障法律法规</w:t>
            </w:r>
          </w:p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开展劳动保障监察员培训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根据上级统一部署或重要时间节点集中开展普法宣传活动。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与市总工会等部门联合开展普法活动。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top"/>
          </w:tcPr>
          <w:p>
            <w:pPr>
              <w:spacing w:line="620" w:lineRule="exact"/>
              <w:ind w:left="243" w:leftChars="76" w:firstLine="422" w:firstLineChars="15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0</wp:posOffset>
                      </wp:positionV>
                      <wp:extent cx="1025525" cy="1174750"/>
                      <wp:effectExtent l="3810" t="3175" r="1841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25" cy="117475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5pt;margin-top:0pt;height:92.5pt;width:80.75pt;z-index:251661312;mso-width-relative:page;mso-height-relative:page;" filled="f" stroked="t" coordsize="21600,21600" o:gfxdata="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1ZQSe1AAAAAcBAAAPAAAAAAAAAAEAIAAAACIAAABkcnMvZG93bnJl&#10;di54bWxQSwECFAAUAAAACACHTuJAKtPELwECAAD4AwAADgAAAAAAAAABACAAAAAjAQAAZHJzL2Uy&#10;b0RvYy54bWxQSwUGAAAAAAYABgBZAQAAlgUAAAAA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任务  处室</w:t>
            </w:r>
          </w:p>
          <w:p>
            <w:pPr>
              <w:spacing w:line="6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(单位)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年度重点宣传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普及法律法规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内部学法活动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面向执法（服务）对象及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社会公众开展的普法活动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与其它部门联合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开展的普法活动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市留学中心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《厦门经济特区鼓励留学人员来厦创业工作规定》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开展《厦门经济特区鼓励留学人员来厦创业工作规定》颁布20周年系列宣传活动。</w:t>
            </w:r>
          </w:p>
        </w:tc>
        <w:tc>
          <w:tcPr>
            <w:tcW w:w="2975" w:type="dxa"/>
            <w:noWrap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市仲裁院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《中华人民共和国劳动争议调解仲裁法》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办案过程中开展普法宣传。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参加相关部门组织的联合普法活动。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0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市考试中心</w:t>
            </w:r>
          </w:p>
        </w:tc>
        <w:tc>
          <w:tcPr>
            <w:tcW w:w="2663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《专业技术人员资格考试违纪违规行为处理规定》（人社部令第31号）</w:t>
            </w:r>
          </w:p>
        </w:tc>
        <w:tc>
          <w:tcPr>
            <w:tcW w:w="2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组织内部学习</w:t>
            </w:r>
          </w:p>
        </w:tc>
        <w:tc>
          <w:tcPr>
            <w:tcW w:w="43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1.在各考点（学校）开展现场宣传；</w:t>
            </w:r>
          </w:p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2.网站媒体等多渠道宣传；</w:t>
            </w:r>
          </w:p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3.在考生准考证上打印诚信参考宣传。</w:t>
            </w:r>
          </w:p>
        </w:tc>
        <w:tc>
          <w:tcPr>
            <w:tcW w:w="2975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无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AFFA3"/>
    <w:multiLevelType w:val="singleLevel"/>
    <w:tmpl w:val="D76AFFA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E7AA4A5"/>
    <w:multiLevelType w:val="singleLevel"/>
    <w:tmpl w:val="5E7AA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Dk4YmFkYTAzMmU1YjE0ZTRhZWRmNDdiMzMwZWYifQ=="/>
  </w:docVars>
  <w:rsids>
    <w:rsidRoot w:val="30574C66"/>
    <w:rsid w:val="305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2022-07-08T02:39:00Z</dcterms:created>
  <dc:creator>WPS_1585216961</dc:creator>
  <cp:lastModifiedBy>WPS_1585216961</cp:lastModifiedBy>
  <dcterms:modified xsi:type="dcterms:W3CDTF">2022-07-08T02:40:57Z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68F75CE480FB41278AC4F29E896CC2DE</vt:lpwstr>
  </property>
</Properties>
</file>