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color w:val="auto"/>
          <w:sz w:val="48"/>
          <w:szCs w:val="48"/>
          <w:lang w:val="en-US" w:eastAsia="zh-CN"/>
        </w:rPr>
      </w:pPr>
      <w:r>
        <w:rPr>
          <w:rFonts w:hint="eastAsia" w:ascii="方正小标宋简体" w:hAnsi="方正小标宋简体" w:eastAsia="方正小标宋简体" w:cs="方正小标宋简体"/>
          <w:b w:val="0"/>
          <w:bCs/>
          <w:color w:val="auto"/>
          <w:sz w:val="48"/>
          <w:szCs w:val="48"/>
          <w:lang w:val="en-US" w:eastAsia="zh-CN"/>
        </w:rPr>
        <w:t>福建省机关事业单位招考专业指导目录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color w:val="auto"/>
          <w:sz w:val="48"/>
          <w:szCs w:val="48"/>
          <w:lang w:val="en-US" w:eastAsia="zh-CN"/>
        </w:rPr>
      </w:pPr>
      <w:r>
        <w:rPr>
          <w:rFonts w:hint="eastAsia" w:ascii="方正小标宋简体" w:hAnsi="方正小标宋简体" w:eastAsia="方正小标宋简体" w:cs="方正小标宋简体"/>
          <w:b w:val="0"/>
          <w:bCs/>
          <w:color w:val="auto"/>
          <w:sz w:val="48"/>
          <w:szCs w:val="48"/>
          <w:lang w:val="en-US" w:eastAsia="zh-CN"/>
        </w:rPr>
        <w:t>（2025年）</w:t>
      </w:r>
    </w:p>
    <w:p>
      <w:pPr>
        <w:widowControl/>
        <w:shd w:val="clear" w:color="auto" w:fill="FFFFFF"/>
        <w:spacing w:line="390" w:lineRule="atLeast"/>
        <w:ind w:firstLine="440"/>
        <w:jc w:val="left"/>
        <w:rPr>
          <w:rFonts w:hint="eastAsia" w:ascii="微软雅黑" w:hAnsi="微软雅黑" w:eastAsia="微软雅黑" w:cs="宋体"/>
          <w:color w:val="333333"/>
          <w:kern w:val="0"/>
          <w:sz w:val="24"/>
          <w:szCs w:val="24"/>
        </w:rPr>
      </w:pP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本目录由招录（聘）主管部门负责解释。</w:t>
      </w:r>
    </w:p>
    <w:p>
      <w:pPr>
        <w:widowControl/>
        <w:shd w:val="clear" w:color="auto" w:fill="FFFFFF"/>
        <w:spacing w:line="390" w:lineRule="atLeast"/>
        <w:ind w:firstLine="480" w:firstLineChars="200"/>
        <w:jc w:val="left"/>
        <w:rPr>
          <w:rFonts w:hint="eastAsia" w:ascii="黑体" w:hAnsi="黑体" w:eastAsia="黑体" w:cs="黑体"/>
          <w:b w:val="0"/>
          <w:bCs/>
          <w:color w:val="auto"/>
          <w:sz w:val="32"/>
          <w:szCs w:val="32"/>
          <w:lang w:val="en-US" w:eastAsia="zh-CN"/>
        </w:rPr>
      </w:pPr>
      <w:r>
        <w:rPr>
          <w:rFonts w:hint="eastAsia" w:ascii="微软雅黑" w:hAnsi="微软雅黑" w:eastAsia="微软雅黑" w:cs="宋体"/>
          <w:color w:val="333333"/>
          <w:kern w:val="0"/>
          <w:sz w:val="24"/>
          <w:szCs w:val="24"/>
        </w:rPr>
        <w:t> </w:t>
      </w:r>
      <w:r>
        <w:rPr>
          <w:rFonts w:hint="eastAsia" w:ascii="黑体" w:hAnsi="黑体" w:eastAsia="黑体" w:cs="黑体"/>
          <w:b w:val="0"/>
          <w:bCs/>
          <w:color w:val="auto"/>
          <w:sz w:val="32"/>
          <w:szCs w:val="32"/>
          <w:lang w:val="en-US" w:eastAsia="zh-CN"/>
        </w:rPr>
        <w:t>一、哲学、文学、历史学大类</w:t>
      </w:r>
    </w:p>
    <w:p>
      <w:pPr>
        <w:widowControl/>
        <w:shd w:val="clear" w:color="auto" w:fill="FFFFFF"/>
        <w:spacing w:line="390" w:lineRule="atLeast"/>
        <w:ind w:firstLine="440"/>
        <w:jc w:val="left"/>
        <w:rPr>
          <w:rFonts w:hint="eastAsia" w:ascii="仿宋" w:hAnsi="仿宋" w:eastAsia="仿宋" w:cs="仿宋"/>
          <w:color w:val="auto"/>
          <w:sz w:val="32"/>
          <w:szCs w:val="32"/>
          <w:lang w:val="en-US" w:eastAsia="zh-CN"/>
        </w:rPr>
      </w:pPr>
      <w:r>
        <w:rPr>
          <w:rFonts w:hint="eastAsia" w:ascii="微软雅黑" w:hAnsi="微软雅黑" w:eastAsia="微软雅黑" w:cs="宋体"/>
          <w:color w:val="333333"/>
          <w:kern w:val="0"/>
          <w:sz w:val="24"/>
          <w:szCs w:val="24"/>
        </w:rPr>
        <w:t> </w:t>
      </w:r>
      <w:r>
        <w:rPr>
          <w:rFonts w:hint="eastAsia" w:ascii="仿宋" w:hAnsi="仿宋" w:eastAsia="仿宋" w:cs="仿宋"/>
          <w:color w:val="auto"/>
          <w:sz w:val="32"/>
          <w:szCs w:val="32"/>
          <w:lang w:val="en-US" w:eastAsia="zh-CN"/>
        </w:rPr>
        <w:t>1.哲学类：哲学，逻辑学，宗教学，伦理学，马克思主义哲学，中国哲学，外国哲学，美学，科学技术哲学，科学技术史</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3.少数民族语言文学类：中国少数民族语言文学（藏语言文学、蒙古语言文学、维吾尔语言文学、朝鲜语言文学、哈萨克语言文学等），中国少数民族语言文化</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外国语言文学类：英语，俄语，德语，法语，西班牙语，阿拉伯语，日语，波斯语，朝鲜语，菲律宾语，梵语巴利语，印度尼西亚语，印地语，柬埔寨语，老挝语，缅甸语，马来语，蒙古语，僧伽罗语，泰语，乌尔都语，希伯来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widowControl/>
        <w:shd w:val="clear" w:color="auto" w:fill="FFFFFF"/>
        <w:spacing w:line="390" w:lineRule="atLeast"/>
        <w:ind w:firstLine="640" w:firstLineChars="200"/>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二、经济学、管理学大类</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shd w:val="clear" w:color="auto" w:fill="FFFFFF"/>
        <w:suppressAutoHyphens/>
        <w:kinsoku/>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20.图书档案学类：图书馆学，档案（学），信息资源管理，情报学，信息管理与信息系统，图书档案管理，图书情报硕士，信息管理，图书情报与档案管理</w:t>
      </w:r>
    </w:p>
    <w:p>
      <w:pPr>
        <w:widowControl/>
        <w:shd w:val="clear" w:color="auto" w:fill="FFFFFF"/>
        <w:spacing w:line="390" w:lineRule="atLeast"/>
        <w:ind w:firstLine="640" w:firstLineChars="200"/>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三、法学大类</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widowControl/>
        <w:shd w:val="clear" w:color="auto" w:fill="FFFFFF"/>
        <w:spacing w:line="390" w:lineRule="atLeast"/>
        <w:ind w:firstLine="640" w:firstLineChars="200"/>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四、教育学大类</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科学教育类：科学与技术教育，科学教育，小学科学教育，物理教育，化学教育，生物教育，地理教育，学科教学（化学），学科教学（地理），学科教学（物理），学科教学（生物），课程与教学论（小学教学），小学教育（科学方向） </w:t>
      </w:r>
    </w:p>
    <w:p>
      <w:pPr>
        <w:keepNext w:val="0"/>
        <w:keepLines w:val="0"/>
        <w:pageBreakBefore w:val="0"/>
        <w:widowControl/>
        <w:shd w:val="clear" w:color="auto" w:fill="FFFFFF"/>
        <w:kinsoku/>
        <w:wordWrap/>
        <w:overflowPunct/>
        <w:topLinePunct w:val="0"/>
        <w:autoSpaceDE/>
        <w:autoSpaceDN/>
        <w:bidi w:val="0"/>
        <w:spacing w:line="390" w:lineRule="atLeas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五、理学、工学大类</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37.天文学类：天文学，天体物理，天体测量与天体力学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left="319" w:leftChars="152"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38.地质学类：地质学，地球化学，矿物学、岩石学、矿床学，古生物学及地层学，构造地质学，第四纪地质学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40.地球物理学类：地球物理学，地球与空间科学，空间科学与技术，固体地球物理学，空间物理学，信息技术与地球物理，应用地球物理，空间信息与数字技术，防灾减灾科学与工程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41.大气科学类：大气科学，应用气象学，气象学，大气物理学与大气环境，大气科学技术，大气探测技术，应用气象技术，防雷技术，雷电防护技术，资源与环境</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42.海洋科学类：海洋科学，海洋技术，海洋资源与环境，海洋管理，军事海洋学，海洋生物资源与环境，物理海洋学，海洋化学，海洋生物学，海洋地质，海岸带综合管理，海洋物理（学）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43.心理学类：心理学，应用心理学（含临床心理学方向、犯罪心理学、社会心理学、心理咨询等），基础心理学，</w:t>
      </w:r>
      <w:bookmarkStart w:id="0" w:name="_GoBack"/>
      <w:r>
        <w:rPr>
          <w:rFonts w:hint="eastAsia" w:ascii="仿宋" w:hAnsi="仿宋" w:eastAsia="仿宋" w:cs="仿宋"/>
          <w:color w:val="auto"/>
          <w:sz w:val="32"/>
          <w:szCs w:val="32"/>
          <w:lang w:val="en-US" w:eastAsia="zh-CN"/>
        </w:rPr>
        <w:t>发展与</w:t>
      </w:r>
      <w:bookmarkEnd w:id="0"/>
      <w:r>
        <w:rPr>
          <w:rFonts w:hint="eastAsia" w:ascii="仿宋" w:hAnsi="仿宋" w:eastAsia="仿宋" w:cs="仿宋"/>
          <w:color w:val="auto"/>
          <w:sz w:val="32"/>
          <w:szCs w:val="32"/>
          <w:lang w:val="en-US" w:eastAsia="zh-CN"/>
        </w:rPr>
        <w:t>教育心理学，人格心理学，认知神经科学，临床心理学，应用心理硕士，心理健康教育，应用心理</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44.系统科学类：系统理论，系统科学与工程，系统分析与集成</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53.计算机科学与技术类：计算机硬件技术类，计算机软件技术类，计算机网络技术类，计算机信息管理类，计算机多媒体技术类，计算机专门应用类</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66.交通运输类：交通运输综合管理类，交通运输装备类，公路运输类，铁道运输类，城市轨道运输类，水上运输类，民航运输类，港口运输类，管道运输类</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68.交通运输装备类：交通设备信息工程，交通建设与装备，载运工具运用工程，交通装备检测及控制工程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75.管道运输类：管道工程技术，管道工程施工，管道运输管理，油气储运工程、油气储运技术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83.工程力学类：理论与应用力学，工程力学，工程结构分析，一般力学与力学基础，固体力学，流体力学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86.林业工程类：森林工程，木材科学与工程，林产化工，木材科学与技术，林产化学加工，林产化学加工工程，林产科学与化学工程，家具设计与工程，林产化工技术，林业工程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87.光学工程类：光学工程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shd w:val="clear" w:color="auto" w:fill="FFFFFF"/>
        <w:kinsoku/>
        <w:wordWrap/>
        <w:overflowPunct/>
        <w:topLinePunct w:val="0"/>
        <w:autoSpaceDE/>
        <w:autoSpaceDN/>
        <w:bidi w:val="0"/>
        <w:spacing w:line="390" w:lineRule="atLeas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六、医学大类</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94.法医学类：法医学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95.护理学类：护理学，助产，护理，社区护理，中西医结合护理学，护理硕士，助产学，临床医学（临床护理学）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96.药学类：药学，药物制剂，社会发展与药事管理（学），临床药学，药事管理，药物化学，海洋药学，药物分析学，药剂学，应用药学，微生物与生化药学，药理学，食品安全与药物化学，药物制剂技术，生药学，药学硕士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七、农学大类</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 </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 </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 </w:t>
      </w:r>
    </w:p>
    <w:p>
      <w:pPr>
        <w:keepNext w:val="0"/>
        <w:keepLines w:val="0"/>
        <w:pageBreakBefore w:val="0"/>
        <w:widowControl/>
        <w:shd w:val="clear" w:color="auto" w:fill="FFFFFF"/>
        <w:kinsoku/>
        <w:wordWrap/>
        <w:overflowPunct/>
        <w:topLinePunct w:val="0"/>
        <w:autoSpaceDE/>
        <w:autoSpaceDN/>
        <w:bidi w:val="0"/>
        <w:spacing w:line="390" w:lineRule="atLeast"/>
        <w:ind w:firstLine="640" w:firstLineChars="200"/>
        <w:jc w:val="left"/>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color w:val="auto"/>
          <w:sz w:val="32"/>
          <w:szCs w:val="32"/>
          <w:lang w:val="en-US" w:eastAsia="zh-CN"/>
        </w:rPr>
        <w:t>八、军事学大类</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103.军事学类：政治经济学，政治学，国际关系与安全，军事外交，外国语言文学（外国军事），军事历史，应用数学，军事气象学，军事海洋学，军事心理学，管理工程，系统工程，军事思想，战略学，军事战略学，战争动员学，军事硕士，国防教育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105.军事测绘遥感类：测量工程，地图学与地理信息工程，工程物理，生化防护工程，国防工程与防护，伪装工程，舰船与海洋工程，飞行器系统与工程，空间工程，兵器工程，导弹工程，弹药工程，地雷爆破与破障工程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106.军事控制测试类：火力指挥与控制工程，测控工程，无人机运用工程，无人机应用技术，探测工程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108.兵种指挥类：炮兵指挥，防空兵指挥，装甲兵指挥，工程兵指挥，防化兵指挥，联合战役学，军种战役学，合同战术学，兵种战术学，武警指挥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109.航空航天指挥类：航空飞行与指挥，地面领航与航空管制，航天指挥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110.信息作战指挥类：侦察与特种兵指挥，通信指挥，电子对抗指挥与工程，军事情报，作战信息管理，预警探测指挥，作战指挥学，军事运筹学，军事通信学，军事情报学，密码学，密码技术应用，军事教育训练学 </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111.保障指挥类：军事交通指挥与工程，汽车指挥，船艇指挥，航空兵场站指挥，国防工程指挥，装备保障指挥，军需勤务指挥，军事装备学</w:t>
      </w:r>
    </w:p>
    <w:p>
      <w:pPr>
        <w:keepNext w:val="0"/>
        <w:keepLines w:val="0"/>
        <w:pageBreakBefore w:val="0"/>
        <w:shd w:val="clear" w:color="auto" w:fill="FFFFFF"/>
        <w:suppressAutoHyphens/>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注：所学专业与招考职位所需专业仅有“和”“与”“及”“及其”等连接词的不同，或者多、少1个“学”字的差别的，视为同一专业。</w:t>
      </w:r>
    </w:p>
    <w:p>
      <w:pPr>
        <w:keepNext w:val="0"/>
        <w:keepLines w:val="0"/>
        <w:pageBreakBefore w:val="0"/>
        <w:widowControl/>
        <w:shd w:val="clear" w:color="auto" w:fill="FFFFFF"/>
        <w:kinsoku/>
        <w:wordWrap/>
        <w:overflowPunct/>
        <w:topLinePunct w:val="0"/>
        <w:autoSpaceDE/>
        <w:autoSpaceDN/>
        <w:bidi w:val="0"/>
        <w:spacing w:line="390" w:lineRule="atLeast"/>
        <w:ind w:firstLine="640" w:firstLineChars="200"/>
        <w:jc w:val="left"/>
        <w:textAlignment w:val="auto"/>
        <w:rPr>
          <w:rFonts w:hint="eastAsia" w:ascii="仿宋" w:hAnsi="仿宋" w:eastAsia="仿宋" w:cs="仿宋"/>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1A"/>
    <w:rsid w:val="00170B1A"/>
    <w:rsid w:val="002B2433"/>
    <w:rsid w:val="002E0A7C"/>
    <w:rsid w:val="008E0241"/>
    <w:rsid w:val="00EA5E5F"/>
    <w:rsid w:val="00FB57EA"/>
    <w:rsid w:val="3F4F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2 Char"/>
    <w:basedOn w:val="7"/>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4655</Words>
  <Characters>26540</Characters>
  <Lines>221</Lines>
  <Paragraphs>62</Paragraphs>
  <TotalTime>19</TotalTime>
  <ScaleCrop>false</ScaleCrop>
  <LinksUpToDate>false</LinksUpToDate>
  <CharactersWithSpaces>31133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2025-05-21T11:09:00Z</dcterms:created>
  <dc:creator>许琳</dc:creator>
  <cp:lastModifiedBy>xmadmin</cp:lastModifiedBy>
  <dcterms:modified xsi:type="dcterms:W3CDTF">2025-07-22T16:12:16Z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